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highlight w:val="none"/>
        </w:rPr>
      </w:pPr>
      <w:r>
        <w:rPr>
          <w:color w:val="auto"/>
          <w:sz w:val="28"/>
          <w:szCs w:val="28"/>
          <w:highlight w:val="none"/>
        </w:rPr>
        <w:pict>
          <v:shape id="Rectangle 5" o:spid="_x0000_s2050" o:spt="75" type="#_x0000_t75" style="position:absolute;left:0pt;margin-left:371.05pt;margin-top:-6.85pt;height:63.1pt;width:103.7pt;z-index:251659264;mso-width-relative:page;mso-height-relative:page;" filled="f" o:preferrelative="t" stroked="f" coordsize="21600,21600">
            <v:path/>
            <v:fill on="f" focussize="0,0"/>
            <v:stroke on="f" joinstyle="miter"/>
            <v:imagedata r:id="rId31" o:title=""/>
            <o:lock v:ext="edit" aspectratio="t"/>
          </v:shape>
        </w:pict>
      </w:r>
      <w:r>
        <w:rPr>
          <w:rFonts w:hint="eastAsia" w:ascii="宋体" w:hAnsi="宋体"/>
          <w:b/>
          <w:snapToGrid w:val="0"/>
          <w:color w:val="auto"/>
          <w:kern w:val="0"/>
          <w:sz w:val="36"/>
          <w:szCs w:val="36"/>
          <w:highlight w:val="none"/>
          <w:u w:val="double"/>
        </w:rPr>
        <w:t xml:space="preserve">              </w:t>
      </w:r>
    </w:p>
    <w:p>
      <w:pPr>
        <w:jc w:val="center"/>
        <w:rPr>
          <w:rFonts w:ascii="楷体_GB2312"/>
          <w:b/>
          <w:color w:val="auto"/>
          <w:sz w:val="72"/>
          <w:highlight w:val="none"/>
        </w:rPr>
      </w:pPr>
    </w:p>
    <w:p>
      <w:pPr>
        <w:jc w:val="center"/>
        <w:rPr>
          <w:rFonts w:ascii="楷体_GB2312"/>
          <w:b/>
          <w:color w:val="auto"/>
          <w:sz w:val="72"/>
          <w:highlight w:val="none"/>
        </w:rPr>
      </w:pPr>
    </w:p>
    <w:p>
      <w:pPr>
        <w:ind w:right="-821" w:rightChars="-391"/>
        <w:rPr>
          <w:rFonts w:ascii="楷体_GB2312"/>
          <w:b/>
          <w:color w:val="auto"/>
          <w:sz w:val="72"/>
          <w:highlight w:val="none"/>
        </w:rPr>
      </w:pPr>
    </w:p>
    <w:p>
      <w:pPr>
        <w:jc w:val="center"/>
        <w:rPr>
          <w:rFonts w:ascii="黑体" w:hAnsi="黑体" w:eastAsia="黑体"/>
          <w:b/>
          <w:color w:val="auto"/>
          <w:sz w:val="72"/>
          <w:szCs w:val="21"/>
          <w:highlight w:val="none"/>
        </w:rPr>
      </w:pPr>
      <w:r>
        <w:rPr>
          <w:rFonts w:hint="eastAsia" w:ascii="黑体" w:hAnsi="黑体" w:eastAsia="黑体"/>
          <w:b/>
          <w:color w:val="auto"/>
          <w:sz w:val="72"/>
          <w:szCs w:val="21"/>
          <w:highlight w:val="none"/>
        </w:rPr>
        <w:t>竞争性谈判文件</w:t>
      </w:r>
    </w:p>
    <w:p>
      <w:pPr>
        <w:jc w:val="center"/>
        <w:rPr>
          <w:rFonts w:ascii="楷体_GB2312"/>
          <w:b/>
          <w:color w:val="auto"/>
          <w:sz w:val="72"/>
          <w:szCs w:val="21"/>
          <w:highlight w:val="none"/>
        </w:rPr>
      </w:pPr>
    </w:p>
    <w:p>
      <w:pPr>
        <w:jc w:val="center"/>
        <w:rPr>
          <w:rFonts w:ascii="楷体_GB2312"/>
          <w:b/>
          <w:color w:val="auto"/>
          <w:sz w:val="72"/>
          <w:highlight w:val="none"/>
        </w:rPr>
      </w:pPr>
    </w:p>
    <w:p>
      <w:pPr>
        <w:pStyle w:val="16"/>
        <w:jc w:val="left"/>
        <w:rPr>
          <w:rFonts w:hAnsi="宋体" w:cs="宋体"/>
          <w:b/>
          <w:bCs/>
          <w:color w:val="auto"/>
          <w:sz w:val="32"/>
          <w:szCs w:val="32"/>
          <w:highlight w:val="none"/>
        </w:rPr>
      </w:pPr>
    </w:p>
    <w:p>
      <w:pPr>
        <w:pStyle w:val="16"/>
        <w:tabs>
          <w:tab w:val="left" w:pos="840"/>
        </w:tabs>
        <w:ind w:left="3534" w:leftChars="918" w:hanging="1606" w:hangingChars="500"/>
        <w:jc w:val="left"/>
        <w:rPr>
          <w:rFonts w:hAnsi="宋体" w:cs="宋体"/>
          <w:b/>
          <w:color w:val="auto"/>
          <w:kern w:val="0"/>
          <w:sz w:val="30"/>
          <w:szCs w:val="30"/>
          <w:highlight w:val="none"/>
        </w:rPr>
      </w:pPr>
      <w:r>
        <w:rPr>
          <w:rFonts w:hint="eastAsia" w:hAnsi="宋体" w:cs="宋体"/>
          <w:b/>
          <w:bCs/>
          <w:color w:val="auto"/>
          <w:sz w:val="32"/>
          <w:szCs w:val="32"/>
          <w:highlight w:val="none"/>
        </w:rPr>
        <w:t>项目名称：</w:t>
      </w:r>
      <w:r>
        <w:rPr>
          <w:rFonts w:hint="eastAsia" w:hAnsi="宋体" w:cs="宋体"/>
          <w:b/>
          <w:color w:val="auto"/>
          <w:spacing w:val="-23"/>
          <w:kern w:val="0"/>
          <w:sz w:val="30"/>
          <w:szCs w:val="30"/>
          <w:highlight w:val="none"/>
        </w:rPr>
        <w:t>保险职业学院学生公寓1、2、3栋整栋、学生公寓9栋13间及部分走道、墙面粉刷工程</w:t>
      </w:r>
    </w:p>
    <w:p>
      <w:pPr>
        <w:pStyle w:val="16"/>
        <w:tabs>
          <w:tab w:val="left" w:pos="840"/>
        </w:tabs>
        <w:ind w:firstLine="1928" w:firstLineChars="600"/>
        <w:jc w:val="left"/>
        <w:rPr>
          <w:rFonts w:hAnsi="宋体" w:cs="宋体"/>
          <w:b/>
          <w:bCs/>
          <w:color w:val="auto"/>
          <w:sz w:val="32"/>
          <w:szCs w:val="32"/>
          <w:highlight w:val="none"/>
        </w:rPr>
      </w:pPr>
      <w:r>
        <w:rPr>
          <w:rFonts w:hint="eastAsia" w:hAnsi="宋体" w:cs="宋体"/>
          <w:b/>
          <w:bCs/>
          <w:color w:val="auto"/>
          <w:sz w:val="32"/>
          <w:szCs w:val="32"/>
          <w:highlight w:val="none"/>
        </w:rPr>
        <w:t>采购人名称：保险职业学院</w:t>
      </w:r>
    </w:p>
    <w:p>
      <w:pPr>
        <w:pStyle w:val="16"/>
        <w:tabs>
          <w:tab w:val="left" w:pos="840"/>
        </w:tabs>
        <w:ind w:firstLine="1928" w:firstLineChars="600"/>
        <w:jc w:val="left"/>
        <w:rPr>
          <w:rFonts w:hAnsi="宋体" w:cs="宋体"/>
          <w:b/>
          <w:bCs/>
          <w:color w:val="auto"/>
          <w:sz w:val="32"/>
          <w:szCs w:val="32"/>
          <w:highlight w:val="none"/>
          <w:u w:val="single"/>
        </w:rPr>
      </w:pPr>
      <w:r>
        <w:rPr>
          <w:rFonts w:hint="eastAsia" w:hAnsi="宋体" w:cs="宋体"/>
          <w:b/>
          <w:bCs/>
          <w:color w:val="auto"/>
          <w:sz w:val="32"/>
          <w:szCs w:val="32"/>
          <w:highlight w:val="none"/>
        </w:rPr>
        <w:t>项目编号：HNXXZT2022-1795</w:t>
      </w:r>
    </w:p>
    <w:p>
      <w:pPr>
        <w:pStyle w:val="16"/>
        <w:ind w:firstLine="1928" w:firstLineChars="600"/>
        <w:rPr>
          <w:rFonts w:ascii="楷体_GB2312"/>
          <w:b/>
          <w:color w:val="auto"/>
          <w:sz w:val="36"/>
          <w:highlight w:val="none"/>
        </w:rPr>
      </w:pPr>
      <w:r>
        <w:rPr>
          <w:rFonts w:hint="eastAsia" w:hAnsi="宋体" w:cs="宋体"/>
          <w:b/>
          <w:bCs/>
          <w:color w:val="auto"/>
          <w:sz w:val="32"/>
          <w:szCs w:val="32"/>
          <w:highlight w:val="none"/>
        </w:rPr>
        <w:t>采购代理机构：湖南新星项目管理有限公司</w:t>
      </w:r>
    </w:p>
    <w:p>
      <w:pPr>
        <w:jc w:val="center"/>
        <w:rPr>
          <w:rFonts w:ascii="楷体_GB2312"/>
          <w:b/>
          <w:color w:val="auto"/>
          <w:sz w:val="36"/>
          <w:highlight w:val="none"/>
        </w:rPr>
      </w:pPr>
    </w:p>
    <w:p>
      <w:pPr>
        <w:jc w:val="center"/>
        <w:rPr>
          <w:rFonts w:ascii="楷体_GB2312"/>
          <w:b/>
          <w:color w:val="auto"/>
          <w:sz w:val="36"/>
          <w:highlight w:val="none"/>
        </w:rPr>
      </w:pPr>
    </w:p>
    <w:p>
      <w:pPr>
        <w:rPr>
          <w:rFonts w:ascii="楷体_GB2312"/>
          <w:color w:val="auto"/>
          <w:sz w:val="36"/>
          <w:highlight w:val="none"/>
        </w:rPr>
      </w:pPr>
    </w:p>
    <w:p>
      <w:pPr>
        <w:pStyle w:val="18"/>
        <w:ind w:left="99" w:leftChars="47"/>
        <w:jc w:val="center"/>
        <w:rPr>
          <w:rFonts w:ascii="黑体" w:hAnsi="黑体" w:eastAsia="黑体"/>
          <w:b/>
          <w:color w:val="auto"/>
          <w:szCs w:val="36"/>
          <w:highlight w:val="none"/>
        </w:rPr>
      </w:pPr>
      <w:r>
        <w:rPr>
          <w:rFonts w:hint="eastAsia" w:ascii="宋体" w:hAnsi="宋体" w:cs="宋体"/>
          <w:b/>
          <w:bCs/>
          <w:color w:val="auto"/>
          <w:sz w:val="32"/>
          <w:szCs w:val="32"/>
          <w:highlight w:val="none"/>
        </w:rPr>
        <w:t>二</w:t>
      </w:r>
      <w:r>
        <w:rPr>
          <w:rFonts w:hint="eastAsia" w:ascii="宋体" w:cs="宋体"/>
          <w:b/>
          <w:bCs/>
          <w:color w:val="auto"/>
          <w:sz w:val="32"/>
          <w:szCs w:val="32"/>
          <w:highlight w:val="none"/>
        </w:rPr>
        <w:t>〇二二</w:t>
      </w:r>
      <w:r>
        <w:rPr>
          <w:rFonts w:hint="eastAsia" w:ascii="宋体" w:hAnsi="宋体" w:cs="宋体"/>
          <w:b/>
          <w:bCs/>
          <w:color w:val="auto"/>
          <w:sz w:val="32"/>
          <w:szCs w:val="32"/>
          <w:highlight w:val="none"/>
        </w:rPr>
        <w:t>年七月</w:t>
      </w:r>
      <w:bookmarkStart w:id="0" w:name="_Toc228532525"/>
    </w:p>
    <w:p>
      <w:pPr>
        <w:pStyle w:val="24"/>
        <w:tabs>
          <w:tab w:val="right" w:leader="dot" w:pos="9412"/>
        </w:tabs>
        <w:jc w:val="center"/>
        <w:outlineLvl w:val="9"/>
        <w:rPr>
          <w:rFonts w:ascii="宋体"/>
          <w:bCs w:val="0"/>
          <w:snapToGrid w:val="0"/>
          <w:color w:val="auto"/>
          <w:kern w:val="0"/>
          <w:sz w:val="36"/>
          <w:szCs w:val="36"/>
          <w:highlight w:val="none"/>
          <w:u w:val="double"/>
        </w:rPr>
        <w:sectPr>
          <w:headerReference r:id="rId5" w:type="first"/>
          <w:headerReference r:id="rId3" w:type="default"/>
          <w:footerReference r:id="rId6" w:type="default"/>
          <w:headerReference r:id="rId4" w:type="even"/>
          <w:footerReference r:id="rId7" w:type="even"/>
          <w:pgSz w:w="11906" w:h="16838"/>
          <w:pgMar w:top="1134" w:right="1134" w:bottom="1134" w:left="1134" w:header="851" w:footer="850" w:gutter="0"/>
          <w:cols w:space="0" w:num="1"/>
          <w:titlePg/>
          <w:docGrid w:type="lines" w:linePitch="312" w:charSpace="0"/>
        </w:sectPr>
      </w:pPr>
      <w:bookmarkStart w:id="1" w:name="_Toc11426"/>
      <w:bookmarkStart w:id="2" w:name="_Toc11913"/>
      <w:bookmarkStart w:id="3" w:name="_Toc17527"/>
      <w:bookmarkStart w:id="4" w:name="_Toc24378"/>
      <w:bookmarkStart w:id="5" w:name="_Toc30474"/>
      <w:bookmarkStart w:id="6" w:name="_Toc11471"/>
      <w:bookmarkStart w:id="7" w:name="_Toc23706"/>
      <w:bookmarkStart w:id="8" w:name="_Toc9027"/>
      <w:bookmarkStart w:id="9" w:name="_Toc19388"/>
      <w:bookmarkStart w:id="10" w:name="_Toc26088"/>
    </w:p>
    <w:p>
      <w:pPr>
        <w:pStyle w:val="24"/>
        <w:tabs>
          <w:tab w:val="right" w:leader="dot" w:pos="9412"/>
        </w:tabs>
        <w:jc w:val="center"/>
        <w:outlineLvl w:val="9"/>
        <w:rPr>
          <w:rFonts w:ascii="宋体"/>
          <w:bCs w:val="0"/>
          <w:snapToGrid w:val="0"/>
          <w:color w:val="auto"/>
          <w:kern w:val="0"/>
          <w:sz w:val="36"/>
          <w:szCs w:val="36"/>
          <w:highlight w:val="none"/>
          <w:u w:val="double"/>
        </w:rPr>
      </w:pPr>
      <w:bookmarkStart w:id="11" w:name="_Toc11433"/>
      <w:bookmarkStart w:id="12" w:name="_Toc8731"/>
      <w:bookmarkStart w:id="13" w:name="_Toc26494"/>
      <w:bookmarkStart w:id="14" w:name="_Toc32102"/>
      <w:bookmarkStart w:id="15" w:name="_Toc4443"/>
      <w:bookmarkStart w:id="16" w:name="_Toc32577"/>
      <w:bookmarkStart w:id="17" w:name="_Toc8060997"/>
      <w:r>
        <w:rPr>
          <w:rFonts w:hint="eastAsia" w:ascii="宋体" w:hAnsi="宋体"/>
          <w:bCs w:val="0"/>
          <w:snapToGrid w:val="0"/>
          <w:color w:val="auto"/>
          <w:kern w:val="0"/>
          <w:sz w:val="36"/>
          <w:szCs w:val="36"/>
          <w:highlight w:val="none"/>
          <w:u w:val="double"/>
        </w:rPr>
        <w:t>目录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24"/>
        <w:tabs>
          <w:tab w:val="right" w:leader="dot" w:pos="9638"/>
        </w:tabs>
        <w:spacing w:line="360" w:lineRule="auto"/>
        <w:rPr>
          <w:color w:val="auto"/>
          <w:highlight w:val="none"/>
        </w:rPr>
      </w:pPr>
      <w:r>
        <w:rPr>
          <w:rFonts w:hint="eastAsia" w:ascii="宋体" w:hAnsi="宋体" w:cs="宋体"/>
          <w:b w:val="0"/>
          <w:bCs w:val="0"/>
          <w:snapToGrid w:val="0"/>
          <w:color w:val="auto"/>
          <w:kern w:val="0"/>
          <w:szCs w:val="24"/>
          <w:highlight w:val="none"/>
          <w:u w:val="double"/>
        </w:rPr>
        <w:fldChar w:fldCharType="begin"/>
      </w:r>
      <w:r>
        <w:rPr>
          <w:rFonts w:hint="eastAsia" w:ascii="宋体" w:hAnsi="宋体" w:cs="宋体"/>
          <w:b w:val="0"/>
          <w:bCs w:val="0"/>
          <w:snapToGrid w:val="0"/>
          <w:color w:val="auto"/>
          <w:kern w:val="0"/>
          <w:szCs w:val="24"/>
          <w:highlight w:val="none"/>
          <w:u w:val="double"/>
        </w:rPr>
        <w:instrText xml:space="preserve">TOC \o "1-3" \h \u </w:instrText>
      </w:r>
      <w:r>
        <w:rPr>
          <w:rFonts w:hint="eastAsia" w:ascii="宋体" w:hAnsi="宋体" w:cs="宋体"/>
          <w:b w:val="0"/>
          <w:bCs w:val="0"/>
          <w:snapToGrid w:val="0"/>
          <w:color w:val="auto"/>
          <w:kern w:val="0"/>
          <w:szCs w:val="24"/>
          <w:highlight w:val="none"/>
          <w:u w:val="double"/>
        </w:rPr>
        <w:fldChar w:fldCharType="separate"/>
      </w:r>
      <w:r>
        <w:rPr>
          <w:color w:val="auto"/>
          <w:highlight w:val="none"/>
        </w:rPr>
        <w:fldChar w:fldCharType="begin"/>
      </w:r>
      <w:r>
        <w:rPr>
          <w:color w:val="auto"/>
          <w:highlight w:val="none"/>
        </w:rPr>
        <w:instrText xml:space="preserve"> HYPERLINK \l "_Toc24224" </w:instrText>
      </w:r>
      <w:r>
        <w:rPr>
          <w:color w:val="auto"/>
          <w:highlight w:val="none"/>
        </w:rPr>
        <w:fldChar w:fldCharType="separate"/>
      </w:r>
      <w:r>
        <w:rPr>
          <w:rFonts w:hint="eastAsia" w:ascii="黑体" w:hAnsi="黑体" w:eastAsia="黑体"/>
          <w:color w:val="auto"/>
          <w:szCs w:val="36"/>
          <w:highlight w:val="none"/>
        </w:rPr>
        <w:t>一、谈判邀请</w:t>
      </w:r>
      <w:r>
        <w:rPr>
          <w:color w:val="auto"/>
          <w:highlight w:val="none"/>
        </w:rPr>
        <w:tab/>
      </w:r>
      <w:r>
        <w:rPr>
          <w:color w:val="auto"/>
          <w:highlight w:val="none"/>
        </w:rPr>
        <w:fldChar w:fldCharType="begin"/>
      </w:r>
      <w:r>
        <w:rPr>
          <w:color w:val="auto"/>
          <w:highlight w:val="none"/>
        </w:rPr>
        <w:instrText xml:space="preserve"> PAGEREF _Toc24224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pPr>
        <w:pStyle w:val="24"/>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"_Toc31891" </w:instrText>
      </w:r>
      <w:r>
        <w:rPr>
          <w:color w:val="auto"/>
          <w:highlight w:val="none"/>
        </w:rPr>
        <w:fldChar w:fldCharType="separate"/>
      </w:r>
      <w:r>
        <w:rPr>
          <w:rFonts w:hint="eastAsia" w:ascii="黑体" w:hAnsi="黑体" w:eastAsia="黑体"/>
          <w:color w:val="auto"/>
          <w:szCs w:val="36"/>
          <w:highlight w:val="none"/>
        </w:rPr>
        <w:t>二、谈判须知</w:t>
      </w:r>
      <w:r>
        <w:rPr>
          <w:color w:val="auto"/>
          <w:highlight w:val="none"/>
        </w:rPr>
        <w:tab/>
      </w:r>
      <w:r>
        <w:rPr>
          <w:color w:val="auto"/>
          <w:highlight w:val="none"/>
        </w:rPr>
        <w:fldChar w:fldCharType="begin"/>
      </w:r>
      <w:r>
        <w:rPr>
          <w:color w:val="auto"/>
          <w:highlight w:val="none"/>
        </w:rPr>
        <w:instrText xml:space="preserve"> PAGEREF _Toc31891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"_Toc8164" </w:instrText>
      </w:r>
      <w:r>
        <w:rPr>
          <w:color w:val="auto"/>
          <w:highlight w:val="none"/>
        </w:rPr>
        <w:fldChar w:fldCharType="separate"/>
      </w:r>
      <w:r>
        <w:rPr>
          <w:rFonts w:hint="eastAsia" w:ascii="黑体" w:hAnsi="黑体" w:eastAsia="黑体"/>
          <w:color w:val="auto"/>
          <w:szCs w:val="28"/>
          <w:highlight w:val="none"/>
        </w:rPr>
        <w:t>（一）说明</w:t>
      </w:r>
      <w:r>
        <w:rPr>
          <w:color w:val="auto"/>
          <w:highlight w:val="none"/>
        </w:rPr>
        <w:tab/>
      </w:r>
      <w:r>
        <w:rPr>
          <w:color w:val="auto"/>
          <w:highlight w:val="none"/>
        </w:rPr>
        <w:fldChar w:fldCharType="begin"/>
      </w:r>
      <w:r>
        <w:rPr>
          <w:color w:val="auto"/>
          <w:highlight w:val="none"/>
        </w:rPr>
        <w:instrText xml:space="preserve"> PAGEREF _Toc8164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"_Toc26856" </w:instrText>
      </w:r>
      <w:r>
        <w:rPr>
          <w:color w:val="auto"/>
          <w:highlight w:val="none"/>
        </w:rPr>
        <w:fldChar w:fldCharType="separate"/>
      </w:r>
      <w:r>
        <w:rPr>
          <w:rFonts w:hint="eastAsia" w:ascii="黑体" w:hAnsi="黑体" w:eastAsia="黑体"/>
          <w:color w:val="auto"/>
          <w:szCs w:val="28"/>
          <w:highlight w:val="none"/>
        </w:rPr>
        <w:t>（二）谈判文件</w:t>
      </w:r>
      <w:r>
        <w:rPr>
          <w:color w:val="auto"/>
          <w:highlight w:val="none"/>
        </w:rPr>
        <w:tab/>
      </w:r>
      <w:r>
        <w:rPr>
          <w:color w:val="auto"/>
          <w:highlight w:val="none"/>
        </w:rPr>
        <w:fldChar w:fldCharType="begin"/>
      </w:r>
      <w:r>
        <w:rPr>
          <w:color w:val="auto"/>
          <w:highlight w:val="none"/>
        </w:rPr>
        <w:instrText xml:space="preserve"> PAGEREF _Toc26856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"_Toc13732" </w:instrText>
      </w:r>
      <w:r>
        <w:rPr>
          <w:color w:val="auto"/>
          <w:highlight w:val="none"/>
        </w:rPr>
        <w:fldChar w:fldCharType="separate"/>
      </w:r>
      <w:r>
        <w:rPr>
          <w:rFonts w:hint="eastAsia" w:ascii="黑体" w:hAnsi="黑体" w:eastAsia="黑体"/>
          <w:color w:val="auto"/>
          <w:szCs w:val="28"/>
          <w:highlight w:val="none"/>
        </w:rPr>
        <w:t>（三）响应文件</w:t>
      </w:r>
      <w:r>
        <w:rPr>
          <w:color w:val="auto"/>
          <w:highlight w:val="none"/>
        </w:rPr>
        <w:tab/>
      </w:r>
      <w:r>
        <w:rPr>
          <w:color w:val="auto"/>
          <w:highlight w:val="none"/>
        </w:rPr>
        <w:fldChar w:fldCharType="begin"/>
      </w:r>
      <w:r>
        <w:rPr>
          <w:color w:val="auto"/>
          <w:highlight w:val="none"/>
        </w:rPr>
        <w:instrText xml:space="preserve"> PAGEREF _Toc13732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"_Toc22026" </w:instrText>
      </w:r>
      <w:r>
        <w:rPr>
          <w:color w:val="auto"/>
          <w:highlight w:val="none"/>
        </w:rPr>
        <w:fldChar w:fldCharType="separate"/>
      </w:r>
      <w:r>
        <w:rPr>
          <w:rFonts w:hint="eastAsia" w:ascii="黑体" w:hAnsi="黑体" w:eastAsia="黑体"/>
          <w:color w:val="auto"/>
          <w:szCs w:val="28"/>
          <w:highlight w:val="none"/>
        </w:rPr>
        <w:t>（四）响应文件的递交</w:t>
      </w:r>
      <w:r>
        <w:rPr>
          <w:color w:val="auto"/>
          <w:highlight w:val="none"/>
        </w:rPr>
        <w:tab/>
      </w:r>
      <w:r>
        <w:rPr>
          <w:color w:val="auto"/>
          <w:highlight w:val="none"/>
        </w:rPr>
        <w:fldChar w:fldCharType="begin"/>
      </w:r>
      <w:r>
        <w:rPr>
          <w:color w:val="auto"/>
          <w:highlight w:val="none"/>
        </w:rPr>
        <w:instrText xml:space="preserve"> PAGEREF _Toc22026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"_Toc10036" </w:instrText>
      </w:r>
      <w:r>
        <w:rPr>
          <w:color w:val="auto"/>
          <w:highlight w:val="none"/>
        </w:rPr>
        <w:fldChar w:fldCharType="separate"/>
      </w:r>
      <w:r>
        <w:rPr>
          <w:rFonts w:hint="eastAsia" w:ascii="黑体" w:hAnsi="黑体" w:eastAsia="黑体"/>
          <w:color w:val="auto"/>
          <w:szCs w:val="28"/>
          <w:highlight w:val="none"/>
        </w:rPr>
        <w:t>（五）响应文件的评审与谈判</w:t>
      </w:r>
      <w:r>
        <w:rPr>
          <w:color w:val="auto"/>
          <w:highlight w:val="none"/>
        </w:rPr>
        <w:tab/>
      </w:r>
      <w:r>
        <w:rPr>
          <w:color w:val="auto"/>
          <w:highlight w:val="none"/>
        </w:rPr>
        <w:fldChar w:fldCharType="begin"/>
      </w:r>
      <w:r>
        <w:rPr>
          <w:color w:val="auto"/>
          <w:highlight w:val="none"/>
        </w:rPr>
        <w:instrText xml:space="preserve"> PAGEREF _Toc10036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"_Toc2577" </w:instrText>
      </w:r>
      <w:r>
        <w:rPr>
          <w:color w:val="auto"/>
          <w:highlight w:val="none"/>
        </w:rPr>
        <w:fldChar w:fldCharType="separate"/>
      </w:r>
      <w:r>
        <w:rPr>
          <w:rFonts w:hint="eastAsia" w:ascii="黑体" w:hAnsi="黑体" w:eastAsia="黑体"/>
          <w:color w:val="auto"/>
          <w:szCs w:val="28"/>
          <w:highlight w:val="none"/>
        </w:rPr>
        <w:t>（六）成交结果信息公布与授予合同</w:t>
      </w:r>
      <w:r>
        <w:rPr>
          <w:color w:val="auto"/>
          <w:highlight w:val="none"/>
        </w:rPr>
        <w:tab/>
      </w:r>
      <w:r>
        <w:rPr>
          <w:color w:val="auto"/>
          <w:highlight w:val="none"/>
        </w:rPr>
        <w:fldChar w:fldCharType="begin"/>
      </w:r>
      <w:r>
        <w:rPr>
          <w:color w:val="auto"/>
          <w:highlight w:val="none"/>
        </w:rPr>
        <w:instrText xml:space="preserve"> PAGEREF _Toc2577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pPr>
        <w:pStyle w:val="15"/>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"_Toc22043" </w:instrText>
      </w:r>
      <w:r>
        <w:rPr>
          <w:color w:val="auto"/>
          <w:highlight w:val="none"/>
        </w:rPr>
        <w:fldChar w:fldCharType="separate"/>
      </w:r>
      <w:r>
        <w:rPr>
          <w:rFonts w:hint="eastAsia" w:ascii="黑体" w:hAnsi="黑体" w:eastAsia="黑体"/>
          <w:color w:val="auto"/>
          <w:szCs w:val="28"/>
          <w:highlight w:val="none"/>
        </w:rPr>
        <w:t>（七）其他规定</w:t>
      </w:r>
      <w:r>
        <w:rPr>
          <w:color w:val="auto"/>
          <w:highlight w:val="none"/>
        </w:rPr>
        <w:tab/>
      </w:r>
      <w:r>
        <w:rPr>
          <w:color w:val="auto"/>
          <w:highlight w:val="none"/>
        </w:rPr>
        <w:fldChar w:fldCharType="begin"/>
      </w:r>
      <w:r>
        <w:rPr>
          <w:color w:val="auto"/>
          <w:highlight w:val="none"/>
        </w:rPr>
        <w:instrText xml:space="preserve"> PAGEREF _Toc22043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24"/>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"_Toc27914" </w:instrText>
      </w:r>
      <w:r>
        <w:rPr>
          <w:color w:val="auto"/>
          <w:highlight w:val="none"/>
        </w:rPr>
        <w:fldChar w:fldCharType="separate"/>
      </w:r>
      <w:r>
        <w:rPr>
          <w:rFonts w:hint="eastAsia" w:ascii="黑体" w:hAnsi="黑体" w:eastAsia="黑体"/>
          <w:color w:val="auto"/>
          <w:szCs w:val="36"/>
          <w:highlight w:val="none"/>
        </w:rPr>
        <w:t>三、采购需求</w:t>
      </w:r>
      <w:r>
        <w:rPr>
          <w:color w:val="auto"/>
          <w:highlight w:val="none"/>
        </w:rPr>
        <w:tab/>
      </w:r>
      <w:r>
        <w:rPr>
          <w:color w:val="auto"/>
          <w:highlight w:val="none"/>
        </w:rPr>
        <w:fldChar w:fldCharType="begin"/>
      </w:r>
      <w:r>
        <w:rPr>
          <w:color w:val="auto"/>
          <w:highlight w:val="none"/>
        </w:rPr>
        <w:instrText xml:space="preserve"> PAGEREF _Toc27914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pPr>
        <w:pStyle w:val="24"/>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"_Toc27721" </w:instrText>
      </w:r>
      <w:r>
        <w:rPr>
          <w:color w:val="auto"/>
          <w:highlight w:val="none"/>
        </w:rPr>
        <w:fldChar w:fldCharType="separate"/>
      </w:r>
      <w:r>
        <w:rPr>
          <w:rFonts w:hint="eastAsia" w:ascii="黑体" w:hAnsi="黑体" w:eastAsia="黑体"/>
          <w:color w:val="auto"/>
          <w:szCs w:val="36"/>
          <w:highlight w:val="none"/>
        </w:rPr>
        <w:t>四、采购合同</w:t>
      </w:r>
      <w:r>
        <w:rPr>
          <w:color w:val="auto"/>
          <w:highlight w:val="none"/>
        </w:rPr>
        <w:tab/>
      </w:r>
      <w:r>
        <w:rPr>
          <w:color w:val="auto"/>
          <w:highlight w:val="none"/>
        </w:rPr>
        <w:fldChar w:fldCharType="begin"/>
      </w:r>
      <w:r>
        <w:rPr>
          <w:color w:val="auto"/>
          <w:highlight w:val="none"/>
        </w:rPr>
        <w:instrText xml:space="preserve"> PAGEREF _Toc27721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pPr>
        <w:pStyle w:val="24"/>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"_Toc17109" </w:instrText>
      </w:r>
      <w:r>
        <w:rPr>
          <w:color w:val="auto"/>
          <w:highlight w:val="none"/>
        </w:rPr>
        <w:fldChar w:fldCharType="separate"/>
      </w:r>
      <w:r>
        <w:rPr>
          <w:rFonts w:hint="eastAsia" w:ascii="黑体" w:hAnsi="黑体" w:eastAsia="黑体"/>
          <w:color w:val="auto"/>
          <w:szCs w:val="36"/>
          <w:highlight w:val="none"/>
        </w:rPr>
        <w:t>五、响应文件组成</w:t>
      </w:r>
      <w:r>
        <w:rPr>
          <w:color w:val="auto"/>
          <w:highlight w:val="none"/>
        </w:rPr>
        <w:tab/>
      </w:r>
      <w:r>
        <w:rPr>
          <w:color w:val="auto"/>
          <w:highlight w:val="none"/>
        </w:rPr>
        <w:fldChar w:fldCharType="begin"/>
      </w:r>
      <w:r>
        <w:rPr>
          <w:color w:val="auto"/>
          <w:highlight w:val="none"/>
        </w:rPr>
        <w:instrText xml:space="preserve"> PAGEREF _Toc17109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"_Toc8458" </w:instrText>
      </w:r>
      <w:r>
        <w:rPr>
          <w:color w:val="auto"/>
          <w:highlight w:val="none"/>
        </w:rPr>
        <w:fldChar w:fldCharType="separate"/>
      </w:r>
      <w:r>
        <w:rPr>
          <w:rFonts w:hint="eastAsia" w:ascii="宋体" w:hAnsi="宋体" w:cs="宋体"/>
          <w:bCs/>
          <w:color w:val="auto"/>
          <w:szCs w:val="21"/>
          <w:highlight w:val="none"/>
        </w:rPr>
        <w:t>格式1、谈判响应声明</w:t>
      </w:r>
      <w:r>
        <w:rPr>
          <w:color w:val="auto"/>
          <w:highlight w:val="none"/>
        </w:rPr>
        <w:tab/>
      </w:r>
      <w:r>
        <w:rPr>
          <w:color w:val="auto"/>
          <w:highlight w:val="none"/>
        </w:rPr>
        <w:fldChar w:fldCharType="begin"/>
      </w:r>
      <w:r>
        <w:rPr>
          <w:color w:val="auto"/>
          <w:highlight w:val="none"/>
        </w:rPr>
        <w:instrText xml:space="preserve"> PAGEREF _Toc8458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"_Toc1234" </w:instrText>
      </w:r>
      <w:r>
        <w:rPr>
          <w:color w:val="auto"/>
          <w:highlight w:val="none"/>
        </w:rPr>
        <w:fldChar w:fldCharType="separate"/>
      </w:r>
      <w:r>
        <w:rPr>
          <w:rFonts w:hint="eastAsia" w:ascii="宋体" w:hAnsi="宋体" w:cs="宋体"/>
          <w:bCs/>
          <w:color w:val="auto"/>
          <w:szCs w:val="21"/>
          <w:highlight w:val="none"/>
        </w:rPr>
        <w:t>格式2、报价一览表</w:t>
      </w:r>
      <w:r>
        <w:rPr>
          <w:color w:val="auto"/>
          <w:highlight w:val="none"/>
        </w:rPr>
        <w:tab/>
      </w:r>
      <w:r>
        <w:rPr>
          <w:color w:val="auto"/>
          <w:highlight w:val="none"/>
        </w:rPr>
        <w:fldChar w:fldCharType="begin"/>
      </w:r>
      <w:r>
        <w:rPr>
          <w:color w:val="auto"/>
          <w:highlight w:val="none"/>
        </w:rPr>
        <w:instrText xml:space="preserve"> PAGEREF _Toc1234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"_Toc12915" </w:instrText>
      </w:r>
      <w:r>
        <w:rPr>
          <w:color w:val="auto"/>
          <w:highlight w:val="none"/>
        </w:rPr>
        <w:fldChar w:fldCharType="separate"/>
      </w:r>
      <w:r>
        <w:rPr>
          <w:rFonts w:hint="eastAsia" w:hAnsi="宋体" w:cs="宋体"/>
          <w:bCs/>
          <w:color w:val="auto"/>
          <w:szCs w:val="21"/>
          <w:highlight w:val="none"/>
        </w:rPr>
        <w:t>格式3、保证金缴纳证明材料</w:t>
      </w:r>
      <w:r>
        <w:rPr>
          <w:color w:val="auto"/>
          <w:highlight w:val="none"/>
        </w:rPr>
        <w:tab/>
      </w:r>
      <w:r>
        <w:rPr>
          <w:color w:val="auto"/>
          <w:highlight w:val="none"/>
        </w:rPr>
        <w:fldChar w:fldCharType="begin"/>
      </w:r>
      <w:r>
        <w:rPr>
          <w:color w:val="auto"/>
          <w:highlight w:val="none"/>
        </w:rPr>
        <w:instrText xml:space="preserve"> PAGEREF _Toc12915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"_Toc25106" </w:instrText>
      </w:r>
      <w:r>
        <w:rPr>
          <w:color w:val="auto"/>
          <w:highlight w:val="none"/>
        </w:rPr>
        <w:fldChar w:fldCharType="separate"/>
      </w:r>
      <w:r>
        <w:rPr>
          <w:rFonts w:hint="eastAsia" w:ascii="宋体" w:hAnsi="宋体" w:cs="宋体"/>
          <w:bCs/>
          <w:color w:val="auto"/>
          <w:szCs w:val="21"/>
          <w:highlight w:val="none"/>
        </w:rPr>
        <w:t>格式4、供应商基本情况</w:t>
      </w:r>
      <w:r>
        <w:rPr>
          <w:color w:val="auto"/>
          <w:highlight w:val="none"/>
        </w:rPr>
        <w:tab/>
      </w:r>
      <w:r>
        <w:rPr>
          <w:color w:val="auto"/>
          <w:highlight w:val="none"/>
        </w:rPr>
        <w:fldChar w:fldCharType="begin"/>
      </w:r>
      <w:r>
        <w:rPr>
          <w:color w:val="auto"/>
          <w:highlight w:val="none"/>
        </w:rPr>
        <w:instrText xml:space="preserve"> PAGEREF _Toc25106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"_Toc8033" </w:instrText>
      </w:r>
      <w:r>
        <w:rPr>
          <w:color w:val="auto"/>
          <w:highlight w:val="none"/>
        </w:rPr>
        <w:fldChar w:fldCharType="separate"/>
      </w:r>
      <w:r>
        <w:rPr>
          <w:rFonts w:hint="eastAsia" w:ascii="宋体" w:hAnsi="宋体" w:cs="宋体"/>
          <w:bCs/>
          <w:color w:val="auto"/>
          <w:szCs w:val="21"/>
          <w:highlight w:val="none"/>
        </w:rPr>
        <w:t>格式5、商务、技术条款偏离表</w:t>
      </w:r>
      <w:r>
        <w:rPr>
          <w:color w:val="auto"/>
          <w:highlight w:val="none"/>
        </w:rPr>
        <w:tab/>
      </w:r>
      <w:r>
        <w:rPr>
          <w:color w:val="auto"/>
          <w:highlight w:val="none"/>
        </w:rPr>
        <w:fldChar w:fldCharType="begin"/>
      </w:r>
      <w:r>
        <w:rPr>
          <w:color w:val="auto"/>
          <w:highlight w:val="none"/>
        </w:rPr>
        <w:instrText xml:space="preserve"> PAGEREF _Toc8033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"_Toc25059" </w:instrText>
      </w:r>
      <w:r>
        <w:rPr>
          <w:color w:val="auto"/>
          <w:highlight w:val="none"/>
        </w:rPr>
        <w:fldChar w:fldCharType="separate"/>
      </w:r>
      <w:r>
        <w:rPr>
          <w:rFonts w:hint="eastAsia" w:ascii="宋体" w:hAnsi="宋体" w:cs="宋体"/>
          <w:bCs/>
          <w:color w:val="auto"/>
          <w:szCs w:val="21"/>
          <w:highlight w:val="none"/>
        </w:rPr>
        <w:t>格式6、施工组织设计</w:t>
      </w:r>
      <w:r>
        <w:rPr>
          <w:color w:val="auto"/>
          <w:highlight w:val="none"/>
        </w:rPr>
        <w:tab/>
      </w:r>
      <w:r>
        <w:rPr>
          <w:color w:val="auto"/>
          <w:highlight w:val="none"/>
        </w:rPr>
        <w:fldChar w:fldCharType="begin"/>
      </w:r>
      <w:r>
        <w:rPr>
          <w:color w:val="auto"/>
          <w:highlight w:val="none"/>
        </w:rPr>
        <w:instrText xml:space="preserve"> PAGEREF _Toc25059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"_Toc20030" </w:instrText>
      </w:r>
      <w:r>
        <w:rPr>
          <w:color w:val="auto"/>
          <w:highlight w:val="none"/>
        </w:rPr>
        <w:fldChar w:fldCharType="separate"/>
      </w:r>
      <w:r>
        <w:rPr>
          <w:rFonts w:hint="eastAsia" w:ascii="宋体" w:hAnsi="宋体" w:cs="宋体"/>
          <w:bCs/>
          <w:color w:val="auto"/>
          <w:szCs w:val="21"/>
          <w:highlight w:val="none"/>
        </w:rPr>
        <w:t>格式7、供应商认为需要提供的其它资料</w:t>
      </w:r>
      <w:r>
        <w:rPr>
          <w:color w:val="auto"/>
          <w:highlight w:val="none"/>
        </w:rPr>
        <w:tab/>
      </w:r>
      <w:r>
        <w:rPr>
          <w:color w:val="auto"/>
          <w:highlight w:val="none"/>
        </w:rPr>
        <w:fldChar w:fldCharType="begin"/>
      </w:r>
      <w:r>
        <w:rPr>
          <w:color w:val="auto"/>
          <w:highlight w:val="none"/>
        </w:rPr>
        <w:instrText xml:space="preserve"> PAGEREF _Toc20030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pPr>
        <w:pStyle w:val="28"/>
        <w:tabs>
          <w:tab w:val="right" w:leader="dot" w:pos="9638"/>
        </w:tabs>
        <w:spacing w:line="360" w:lineRule="auto"/>
        <w:rPr>
          <w:color w:val="auto"/>
          <w:highlight w:val="none"/>
        </w:rPr>
      </w:pPr>
      <w:r>
        <w:rPr>
          <w:color w:val="auto"/>
          <w:highlight w:val="none"/>
        </w:rPr>
        <w:fldChar w:fldCharType="begin"/>
      </w:r>
      <w:r>
        <w:rPr>
          <w:color w:val="auto"/>
          <w:highlight w:val="none"/>
        </w:rPr>
        <w:instrText xml:space="preserve"> HYPERLINK \l "_Toc17396" </w:instrText>
      </w:r>
      <w:r>
        <w:rPr>
          <w:color w:val="auto"/>
          <w:highlight w:val="none"/>
        </w:rPr>
        <w:fldChar w:fldCharType="separate"/>
      </w:r>
      <w:r>
        <w:rPr>
          <w:rFonts w:hint="eastAsia" w:ascii="宋体" w:hAnsi="宋体" w:cs="宋体"/>
          <w:bCs/>
          <w:color w:val="auto"/>
          <w:szCs w:val="21"/>
          <w:highlight w:val="none"/>
        </w:rPr>
        <w:t>格式8、最后报价</w:t>
      </w:r>
      <w:r>
        <w:rPr>
          <w:color w:val="auto"/>
          <w:highlight w:val="none"/>
        </w:rPr>
        <w:tab/>
      </w:r>
      <w:r>
        <w:rPr>
          <w:color w:val="auto"/>
          <w:highlight w:val="none"/>
        </w:rPr>
        <w:fldChar w:fldCharType="begin"/>
      </w:r>
      <w:r>
        <w:rPr>
          <w:color w:val="auto"/>
          <w:highlight w:val="none"/>
        </w:rPr>
        <w:instrText xml:space="preserve"> PAGEREF _Toc17396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pPr>
        <w:spacing w:line="360" w:lineRule="auto"/>
        <w:ind w:firstLine="420" w:firstLineChars="200"/>
        <w:jc w:val="center"/>
        <w:rPr>
          <w:color w:val="auto"/>
          <w:highlight w:val="none"/>
        </w:rPr>
      </w:pPr>
      <w:r>
        <w:rPr>
          <w:rFonts w:hint="eastAsia" w:ascii="宋体" w:hAnsi="宋体" w:cs="宋体"/>
          <w:bCs/>
          <w:snapToGrid w:val="0"/>
          <w:color w:val="auto"/>
          <w:kern w:val="0"/>
          <w:highlight w:val="none"/>
          <w:u w:val="double"/>
        </w:rPr>
        <w:fldChar w:fldCharType="end"/>
      </w:r>
    </w:p>
    <w:p>
      <w:pPr>
        <w:ind w:firstLine="420" w:firstLineChars="200"/>
        <w:jc w:val="center"/>
        <w:rPr>
          <w:color w:val="auto"/>
          <w:highlight w:val="none"/>
        </w:rPr>
      </w:pPr>
    </w:p>
    <w:p>
      <w:pPr>
        <w:ind w:firstLine="420" w:firstLineChars="200"/>
        <w:jc w:val="center"/>
        <w:rPr>
          <w:color w:val="auto"/>
          <w:highlight w:val="none"/>
        </w:rPr>
      </w:pPr>
    </w:p>
    <w:p>
      <w:pPr>
        <w:ind w:firstLine="420" w:firstLineChars="200"/>
        <w:jc w:val="center"/>
        <w:rPr>
          <w:color w:val="auto"/>
          <w:highlight w:val="none"/>
        </w:rPr>
      </w:pPr>
    </w:p>
    <w:p>
      <w:pPr>
        <w:ind w:firstLine="420" w:firstLineChars="200"/>
        <w:jc w:val="center"/>
        <w:rPr>
          <w:color w:val="auto"/>
          <w:highlight w:val="none"/>
        </w:rPr>
      </w:pPr>
    </w:p>
    <w:p>
      <w:pPr>
        <w:ind w:firstLine="420" w:firstLineChars="200"/>
        <w:jc w:val="center"/>
        <w:rPr>
          <w:color w:val="auto"/>
          <w:highlight w:val="none"/>
        </w:rPr>
      </w:pPr>
    </w:p>
    <w:p>
      <w:pPr>
        <w:ind w:firstLine="420" w:firstLineChars="200"/>
        <w:jc w:val="center"/>
        <w:rPr>
          <w:color w:val="auto"/>
          <w:highlight w:val="none"/>
        </w:rPr>
      </w:pPr>
    </w:p>
    <w:p>
      <w:pPr>
        <w:ind w:firstLine="420" w:firstLineChars="200"/>
        <w:jc w:val="center"/>
        <w:rPr>
          <w:color w:val="auto"/>
          <w:highlight w:val="none"/>
        </w:rPr>
      </w:pPr>
    </w:p>
    <w:p>
      <w:pPr>
        <w:rPr>
          <w:color w:val="auto"/>
          <w:highlight w:val="none"/>
        </w:rPr>
      </w:pPr>
    </w:p>
    <w:p>
      <w:pPr>
        <w:ind w:firstLine="723" w:firstLineChars="200"/>
        <w:jc w:val="center"/>
        <w:outlineLvl w:val="0"/>
        <w:rPr>
          <w:rFonts w:ascii="黑体" w:hAnsi="黑体" w:eastAsia="黑体"/>
          <w:b/>
          <w:color w:val="auto"/>
          <w:sz w:val="36"/>
          <w:szCs w:val="36"/>
          <w:highlight w:val="none"/>
        </w:rPr>
        <w:sectPr>
          <w:headerReference r:id="rId8" w:type="first"/>
          <w:footerReference r:id="rId10" w:type="first"/>
          <w:footerReference r:id="rId9" w:type="default"/>
          <w:pgSz w:w="11906" w:h="16838"/>
          <w:pgMar w:top="1134" w:right="1134" w:bottom="1134" w:left="1134" w:header="851" w:footer="850" w:gutter="0"/>
          <w:pgNumType w:start="1"/>
          <w:cols w:space="0" w:num="1"/>
          <w:titlePg/>
          <w:docGrid w:type="lines" w:linePitch="312" w:charSpace="0"/>
        </w:sectPr>
      </w:pPr>
    </w:p>
    <w:p>
      <w:pPr>
        <w:jc w:val="center"/>
        <w:outlineLvl w:val="0"/>
        <w:rPr>
          <w:rFonts w:ascii="黑体" w:hAnsi="黑体" w:eastAsia="黑体"/>
          <w:b/>
          <w:color w:val="auto"/>
          <w:sz w:val="36"/>
          <w:szCs w:val="36"/>
          <w:highlight w:val="none"/>
        </w:rPr>
      </w:pPr>
      <w:bookmarkStart w:id="18" w:name="_Toc24224"/>
      <w:r>
        <w:rPr>
          <w:rFonts w:hint="eastAsia" w:ascii="黑体" w:hAnsi="黑体" w:eastAsia="黑体"/>
          <w:b/>
          <w:color w:val="auto"/>
          <w:sz w:val="36"/>
          <w:szCs w:val="36"/>
          <w:highlight w:val="none"/>
        </w:rPr>
        <w:t>一</w:t>
      </w:r>
      <w:bookmarkEnd w:id="0"/>
      <w:bookmarkStart w:id="19" w:name="_Toc228532526"/>
      <w:r>
        <w:rPr>
          <w:rFonts w:hint="eastAsia" w:ascii="黑体" w:hAnsi="黑体" w:eastAsia="黑体"/>
          <w:b/>
          <w:color w:val="auto"/>
          <w:sz w:val="36"/>
          <w:szCs w:val="36"/>
          <w:highlight w:val="none"/>
        </w:rPr>
        <w:t>、谈判邀请</w:t>
      </w:r>
      <w:bookmarkEnd w:id="18"/>
    </w:p>
    <w:p>
      <w:pPr>
        <w:autoSpaceDE w:val="0"/>
        <w:autoSpaceDN w:val="0"/>
        <w:adjustRightInd w:val="0"/>
        <w:snapToGrid w:val="0"/>
        <w:spacing w:line="360" w:lineRule="auto"/>
        <w:ind w:right="23" w:rightChars="11"/>
        <w:jc w:val="left"/>
        <w:rPr>
          <w:rFonts w:ascii="宋体" w:hAnsi="宋体" w:cs="宋体"/>
          <w:color w:val="auto"/>
          <w:kern w:val="0"/>
          <w:szCs w:val="21"/>
          <w:highlight w:val="none"/>
        </w:rPr>
      </w:pPr>
    </w:p>
    <w:p>
      <w:pPr>
        <w:spacing w:line="360" w:lineRule="auto"/>
        <w:ind w:firstLine="431" w:firstLineChars="196"/>
        <w:rPr>
          <w:rFonts w:ascii="宋体" w:hAnsi="宋体"/>
          <w:bCs/>
          <w:color w:val="auto"/>
          <w:sz w:val="22"/>
          <w:szCs w:val="22"/>
          <w:highlight w:val="none"/>
        </w:rPr>
      </w:pPr>
      <w:r>
        <w:rPr>
          <w:rFonts w:hint="eastAsia" w:ascii="宋体" w:hAnsi="宋体"/>
          <w:bCs/>
          <w:color w:val="auto"/>
          <w:sz w:val="22"/>
          <w:szCs w:val="22"/>
          <w:highlight w:val="none"/>
        </w:rPr>
        <w:t>“</w:t>
      </w:r>
      <w:r>
        <w:rPr>
          <w:rFonts w:ascii="宋体" w:hAnsi="宋体"/>
          <w:bCs/>
          <w:color w:val="auto"/>
          <w:sz w:val="22"/>
          <w:szCs w:val="22"/>
          <w:highlight w:val="none"/>
        </w:rPr>
        <w:t>保险职业学院学生公寓1、2、3栋整栋、学生公寓9栋13间及部分走道、墙面粉刷工程</w:t>
      </w:r>
      <w:r>
        <w:rPr>
          <w:rFonts w:hint="eastAsia" w:ascii="宋体" w:hAnsi="宋体"/>
          <w:bCs/>
          <w:color w:val="auto"/>
          <w:sz w:val="22"/>
          <w:szCs w:val="22"/>
          <w:highlight w:val="none"/>
        </w:rPr>
        <w:t>”采用竞争性谈判采购方式组织采购，</w:t>
      </w:r>
      <w:r>
        <w:rPr>
          <w:rFonts w:hint="eastAsia" w:ascii="宋体" w:hAnsi="宋体"/>
          <w:color w:val="auto"/>
          <w:sz w:val="22"/>
          <w:szCs w:val="22"/>
          <w:highlight w:val="none"/>
        </w:rPr>
        <w:t>现采用发布公告方式，</w:t>
      </w:r>
      <w:r>
        <w:rPr>
          <w:rFonts w:hint="eastAsia" w:ascii="宋体" w:hAnsi="宋体"/>
          <w:bCs/>
          <w:color w:val="auto"/>
          <w:sz w:val="22"/>
          <w:szCs w:val="22"/>
          <w:highlight w:val="none"/>
        </w:rPr>
        <w:t>欢迎前来参与本项目的竞争性谈判活动。</w:t>
      </w:r>
    </w:p>
    <w:p>
      <w:pPr>
        <w:spacing w:line="360" w:lineRule="auto"/>
        <w:ind w:firstLine="442" w:firstLineChars="200"/>
        <w:rPr>
          <w:rFonts w:ascii="宋体" w:hAnsi="宋体"/>
          <w:color w:val="auto"/>
          <w:sz w:val="22"/>
          <w:szCs w:val="22"/>
          <w:highlight w:val="none"/>
          <w:u w:val="single"/>
        </w:rPr>
      </w:pPr>
      <w:r>
        <w:rPr>
          <w:rFonts w:hint="eastAsia"/>
          <w:b/>
          <w:color w:val="auto"/>
          <w:sz w:val="22"/>
          <w:szCs w:val="22"/>
          <w:highlight w:val="none"/>
        </w:rPr>
        <w:t>（一）项目名称</w:t>
      </w:r>
      <w:r>
        <w:rPr>
          <w:rFonts w:hint="eastAsia"/>
          <w:bCs/>
          <w:color w:val="auto"/>
          <w:sz w:val="22"/>
          <w:szCs w:val="22"/>
          <w:highlight w:val="none"/>
        </w:rPr>
        <w:t>：</w:t>
      </w:r>
      <w:r>
        <w:rPr>
          <w:rFonts w:ascii="宋体" w:hAnsi="宋体"/>
          <w:bCs/>
          <w:color w:val="auto"/>
          <w:sz w:val="22"/>
          <w:szCs w:val="22"/>
          <w:highlight w:val="none"/>
        </w:rPr>
        <w:t>保险职业学院学生公寓1、2、3栋整栋、学生公寓9栋13间及部分走道、墙面粉刷工程</w:t>
      </w:r>
    </w:p>
    <w:p>
      <w:pPr>
        <w:spacing w:line="360" w:lineRule="auto"/>
        <w:ind w:firstLine="442" w:firstLineChars="200"/>
        <w:rPr>
          <w:rFonts w:ascii="宋体" w:hAnsi="宋体"/>
          <w:dstrike/>
          <w:color w:val="auto"/>
          <w:sz w:val="22"/>
          <w:szCs w:val="22"/>
          <w:highlight w:val="none"/>
          <w:u w:val="single"/>
        </w:rPr>
      </w:pPr>
      <w:r>
        <w:rPr>
          <w:rFonts w:hint="eastAsia"/>
          <w:b/>
          <w:color w:val="auto"/>
          <w:sz w:val="22"/>
          <w:szCs w:val="22"/>
          <w:highlight w:val="none"/>
        </w:rPr>
        <w:t>（二）项目编号</w:t>
      </w:r>
      <w:r>
        <w:rPr>
          <w:rFonts w:hint="eastAsia" w:ascii="宋体" w:hAnsi="宋体"/>
          <w:color w:val="auto"/>
          <w:sz w:val="22"/>
          <w:szCs w:val="22"/>
          <w:highlight w:val="none"/>
        </w:rPr>
        <w:t>：</w:t>
      </w:r>
      <w:r>
        <w:rPr>
          <w:rFonts w:hint="eastAsia" w:ascii="宋体" w:hAnsi="宋体"/>
          <w:bCs/>
          <w:color w:val="auto"/>
          <w:sz w:val="22"/>
          <w:szCs w:val="22"/>
          <w:highlight w:val="none"/>
        </w:rPr>
        <w:t>HNXXZT2022-1795</w:t>
      </w:r>
    </w:p>
    <w:p>
      <w:pPr>
        <w:spacing w:line="360" w:lineRule="auto"/>
        <w:ind w:firstLine="433" w:firstLineChars="196"/>
        <w:rPr>
          <w:bCs/>
          <w:color w:val="auto"/>
          <w:sz w:val="22"/>
          <w:szCs w:val="22"/>
          <w:highlight w:val="none"/>
        </w:rPr>
      </w:pPr>
      <w:r>
        <w:rPr>
          <w:rFonts w:hint="eastAsia"/>
          <w:b/>
          <w:color w:val="auto"/>
          <w:sz w:val="22"/>
          <w:szCs w:val="22"/>
          <w:highlight w:val="none"/>
        </w:rPr>
        <w:t>（三）采购内容及预算</w:t>
      </w:r>
      <w:r>
        <w:rPr>
          <w:rFonts w:hint="eastAsia"/>
          <w:bCs/>
          <w:color w:val="auto"/>
          <w:sz w:val="22"/>
          <w:szCs w:val="22"/>
          <w:highlight w:val="none"/>
        </w:rPr>
        <w:t>：</w:t>
      </w:r>
    </w:p>
    <w:p>
      <w:pPr>
        <w:spacing w:line="360" w:lineRule="auto"/>
        <w:ind w:firstLine="431" w:firstLineChars="196"/>
        <w:rPr>
          <w:rFonts w:ascii="宋体" w:hAnsi="宋体" w:cs="宋体"/>
          <w:color w:val="auto"/>
          <w:sz w:val="22"/>
          <w:szCs w:val="22"/>
          <w:highlight w:val="none"/>
        </w:rPr>
      </w:pPr>
      <w:r>
        <w:rPr>
          <w:rFonts w:hint="eastAsia" w:ascii="宋体" w:hAnsi="宋体" w:cs="宋体"/>
          <w:color w:val="auto"/>
          <w:sz w:val="22"/>
          <w:szCs w:val="22"/>
          <w:highlight w:val="none"/>
        </w:rPr>
        <w:t xml:space="preserve">本次项目包括保险职业学院学生公寓1、2、3栋整体粉刷、9栋211、212、220、227、228室内及走道、404、406、408、409、410、411、412、413房间内墙面约22800平米墙面清理，发霉、空鼓、裂开部分铲灰壳、刮腻子、墙面整体打磨、多乐士净味漆粉刷二遍，卫生清洁及垃圾清运等。  </w:t>
      </w:r>
    </w:p>
    <w:p>
      <w:pPr>
        <w:spacing w:line="360" w:lineRule="auto"/>
        <w:ind w:firstLine="431" w:firstLineChars="196"/>
        <w:rPr>
          <w:color w:val="auto"/>
          <w:sz w:val="22"/>
          <w:szCs w:val="22"/>
          <w:highlight w:val="none"/>
        </w:rPr>
      </w:pPr>
      <w:r>
        <w:rPr>
          <w:rFonts w:hint="eastAsia" w:ascii="宋体" w:hAnsi="宋体" w:cs="宋体"/>
          <w:color w:val="auto"/>
          <w:sz w:val="22"/>
          <w:szCs w:val="22"/>
          <w:highlight w:val="none"/>
        </w:rPr>
        <w:t xml:space="preserve">  </w:t>
      </w:r>
      <w:r>
        <w:rPr>
          <w:rFonts w:hint="eastAsia"/>
          <w:bCs/>
          <w:color w:val="auto"/>
          <w:sz w:val="22"/>
          <w:szCs w:val="22"/>
          <w:highlight w:val="none"/>
        </w:rPr>
        <w:t>采购项目预算（即最高限价；人民币）</w:t>
      </w:r>
      <w:r>
        <w:rPr>
          <w:rFonts w:hint="eastAsia" w:ascii="宋体" w:hAnsi="宋体" w:cs="宋体"/>
          <w:color w:val="auto"/>
          <w:sz w:val="22"/>
          <w:szCs w:val="22"/>
          <w:highlight w:val="none"/>
        </w:rPr>
        <w:t>：总价：798000.00元；单价：35.00元/平方米。</w:t>
      </w:r>
    </w:p>
    <w:p>
      <w:pPr>
        <w:pStyle w:val="30"/>
        <w:spacing w:line="360" w:lineRule="auto"/>
        <w:ind w:firstLine="433" w:firstLineChars="196"/>
        <w:rPr>
          <w:rFonts w:ascii="Times New Roman" w:hAnsi="Times New Roman"/>
          <w:b/>
          <w:color w:val="auto"/>
          <w:sz w:val="22"/>
          <w:szCs w:val="22"/>
          <w:highlight w:val="none"/>
        </w:rPr>
      </w:pPr>
      <w:r>
        <w:rPr>
          <w:rFonts w:hint="eastAsia" w:ascii="Times New Roman" w:hAnsi="Times New Roman"/>
          <w:b/>
          <w:color w:val="auto"/>
          <w:sz w:val="22"/>
          <w:szCs w:val="22"/>
          <w:highlight w:val="none"/>
        </w:rPr>
        <w:t>（四）供应商资质：</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1、供应商的基本资格条件：</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（1）具有独立承担民事责任的能力；</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（2）具有良好的商业信誉和健全的财务会计制度；</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（3）具有履行合同所必需的设备和专业技术能力；</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（4）有依法缴纳税收和社会保障资金的良好记录；</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（5）参加采购活动前三年内，在经营活动中没有重大违法记录；</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（6）法律、行政法规规定的其他条件；</w:t>
      </w:r>
    </w:p>
    <w:p>
      <w:pPr>
        <w:pStyle w:val="30"/>
        <w:spacing w:line="360" w:lineRule="auto"/>
        <w:ind w:firstLine="431" w:firstLineChars="196"/>
        <w:rPr>
          <w:rFonts w:cs="宋体"/>
          <w:color w:val="auto"/>
          <w:sz w:val="22"/>
          <w:szCs w:val="22"/>
          <w:highlight w:val="none"/>
        </w:rPr>
      </w:pPr>
      <w:r>
        <w:rPr>
          <w:rFonts w:hint="eastAsia" w:cs="宋体"/>
          <w:color w:val="auto"/>
          <w:sz w:val="22"/>
          <w:szCs w:val="22"/>
          <w:highlight w:val="none"/>
        </w:rPr>
        <w:t>（7）本项目不接受联合体谈判。</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2、特定资格：</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（1）供应商是必须</w:t>
      </w:r>
      <w:r>
        <w:rPr>
          <w:rFonts w:hint="eastAsia" w:ascii="宋体" w:hAnsi="宋体"/>
          <w:color w:val="auto"/>
          <w:sz w:val="22"/>
          <w:szCs w:val="22"/>
          <w:highlight w:val="none"/>
        </w:rPr>
        <w:t>在中华人民共和国境内注册登记的法人，</w:t>
      </w:r>
      <w:r>
        <w:rPr>
          <w:rFonts w:hint="eastAsia" w:ascii="宋体" w:hAnsi="宋体" w:cs="宋体"/>
          <w:color w:val="auto"/>
          <w:sz w:val="22"/>
          <w:szCs w:val="22"/>
          <w:highlight w:val="none"/>
        </w:rPr>
        <w:t>具有独立法人资格，并持有经年检合格的企业安全生产许可证，具备建设行政主管部门核发的建筑装修装饰工程专业承包贰级及以上资质，并在人员、设备、资金等方面具有相应施工的能力；</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本项目的施工项目部关键岗位人员参照湘建建〔2020〕208号文配备（本项目施工项目部关键岗位人员最低配备不少于4人，其中项目负责人1人、技术负责人1人&lt;可兼任施工员&gt;、安全员1人、质量员1人，且必须是本企业在职人员；拟派项目负责人应当具有建筑工程专业二级及以上注册建造师资格，具备项目负责人安全生产考核合格证书，且未在其他建设工程项目中担任同类职务&lt;即：项目负责人或项目经理，下同&gt;；施工项目部关键岗位人员其他人员应当持有省级住房和城乡建设主管部门颁发的相应岗位证书&lt;其中安全员必须提供专职安全员安全生产考核合格证&gt;，岗位资格证书应当在有效期内；岗位资格证书注明了单位名称的，应当与供应商一致；湖南省外企业关键岗位人员如持有外省住房和城乡建设主管部门颁发的岗位资格证书，其证书应当能通过互联网查询真伪或提供由省级住房和城乡建设主管部门出具的证书真实性证明）。</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拟任项目负责人未在其他建设工程项目中担任同类职务的查询和证明方式：本省企业和省外入湘企业在“湖南省建筑工程监管信息平台”查询。同时，请省外入湘企业提供企业所在地市州及以上住房城乡建设主管部门出具的未在其他建设工程项目中担任同类职务证明或提供官方网站查询的相关信息的网页截图。</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湖南省外企业必须按照湘建建【2015】190号文件要求办理省外入湘企业基本情况登记（以“湖南省住房和城乡建设网”查询为准）或具有《入湘施工登记证》（处于有效期内）。</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3、单位负责人为同一人或者存在直接控股、管理关系的不同供应商，不得参加同一合同项下的采购活动。</w:t>
      </w:r>
    </w:p>
    <w:p>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4、列入失信被执行人、重大税收违法案件当事人名单，列入政府采购严重违法失信行为记录名单的，拒绝其参与采购活动。</w:t>
      </w:r>
    </w:p>
    <w:p>
      <w:pPr>
        <w:pStyle w:val="30"/>
        <w:spacing w:line="360" w:lineRule="auto"/>
        <w:ind w:firstLine="433" w:firstLineChars="196"/>
        <w:rPr>
          <w:rFonts w:cs="宋体"/>
          <w:b/>
          <w:color w:val="auto"/>
          <w:sz w:val="22"/>
          <w:szCs w:val="22"/>
          <w:highlight w:val="none"/>
        </w:rPr>
      </w:pPr>
      <w:r>
        <w:rPr>
          <w:rFonts w:hint="eastAsia" w:cs="宋体"/>
          <w:b/>
          <w:color w:val="auto"/>
          <w:sz w:val="22"/>
          <w:szCs w:val="22"/>
          <w:highlight w:val="none"/>
        </w:rPr>
        <w:t>（五）采购文件获取时间、地点及方式：</w:t>
      </w:r>
    </w:p>
    <w:p>
      <w:pPr>
        <w:pStyle w:val="30"/>
        <w:spacing w:line="360" w:lineRule="auto"/>
        <w:ind w:firstLine="420"/>
        <w:rPr>
          <w:rFonts w:cs="宋体"/>
          <w:color w:val="auto"/>
          <w:sz w:val="22"/>
          <w:szCs w:val="22"/>
          <w:highlight w:val="none"/>
        </w:rPr>
      </w:pPr>
      <w:r>
        <w:rPr>
          <w:rFonts w:hint="eastAsia" w:cs="宋体"/>
          <w:color w:val="auto"/>
          <w:sz w:val="22"/>
          <w:szCs w:val="22"/>
          <w:highlight w:val="none"/>
        </w:rPr>
        <w:t>1、获取时间：</w:t>
      </w:r>
      <w:r>
        <w:rPr>
          <w:rFonts w:hint="eastAsia" w:cs="宋体"/>
          <w:color w:val="auto"/>
          <w:sz w:val="22"/>
          <w:szCs w:val="22"/>
          <w:highlight w:val="none"/>
          <w:u w:val="single"/>
        </w:rPr>
        <w:t>2022</w:t>
      </w:r>
      <w:r>
        <w:rPr>
          <w:rFonts w:hint="eastAsia" w:cs="宋体"/>
          <w:color w:val="auto"/>
          <w:sz w:val="22"/>
          <w:szCs w:val="22"/>
          <w:highlight w:val="none"/>
        </w:rPr>
        <w:t>年</w:t>
      </w:r>
      <w:r>
        <w:rPr>
          <w:rFonts w:hint="eastAsia" w:cs="宋体"/>
          <w:color w:val="auto"/>
          <w:sz w:val="22"/>
          <w:szCs w:val="22"/>
          <w:highlight w:val="none"/>
          <w:u w:val="single"/>
        </w:rPr>
        <w:t>7</w:t>
      </w:r>
      <w:r>
        <w:rPr>
          <w:rFonts w:hint="eastAsia" w:cs="宋体"/>
          <w:color w:val="auto"/>
          <w:sz w:val="22"/>
          <w:szCs w:val="22"/>
          <w:highlight w:val="none"/>
        </w:rPr>
        <w:t>月</w:t>
      </w:r>
      <w:r>
        <w:rPr>
          <w:rFonts w:hint="eastAsia" w:cs="宋体"/>
          <w:color w:val="auto"/>
          <w:sz w:val="22"/>
          <w:szCs w:val="22"/>
          <w:highlight w:val="none"/>
          <w:u w:val="single"/>
        </w:rPr>
        <w:t>11</w:t>
      </w:r>
      <w:r>
        <w:rPr>
          <w:rFonts w:hint="eastAsia" w:cs="宋体"/>
          <w:color w:val="auto"/>
          <w:sz w:val="22"/>
          <w:szCs w:val="22"/>
          <w:highlight w:val="none"/>
        </w:rPr>
        <w:t>日起至</w:t>
      </w:r>
      <w:r>
        <w:rPr>
          <w:rFonts w:hint="eastAsia" w:cs="宋体"/>
          <w:color w:val="auto"/>
          <w:sz w:val="22"/>
          <w:szCs w:val="22"/>
          <w:highlight w:val="none"/>
          <w:u w:val="single"/>
        </w:rPr>
        <w:t>2022</w:t>
      </w:r>
      <w:r>
        <w:rPr>
          <w:rFonts w:hint="eastAsia" w:cs="宋体"/>
          <w:color w:val="auto"/>
          <w:sz w:val="22"/>
          <w:szCs w:val="22"/>
          <w:highlight w:val="none"/>
        </w:rPr>
        <w:t>年</w:t>
      </w:r>
      <w:r>
        <w:rPr>
          <w:rFonts w:hint="eastAsia" w:cs="宋体"/>
          <w:color w:val="auto"/>
          <w:sz w:val="22"/>
          <w:szCs w:val="22"/>
          <w:highlight w:val="none"/>
          <w:u w:val="single"/>
        </w:rPr>
        <w:t>7</w:t>
      </w:r>
      <w:r>
        <w:rPr>
          <w:rFonts w:hint="eastAsia" w:cs="宋体"/>
          <w:color w:val="auto"/>
          <w:sz w:val="22"/>
          <w:szCs w:val="22"/>
          <w:highlight w:val="none"/>
        </w:rPr>
        <w:t>月</w:t>
      </w:r>
      <w:r>
        <w:rPr>
          <w:rFonts w:hint="eastAsia" w:cs="宋体"/>
          <w:color w:val="auto"/>
          <w:sz w:val="22"/>
          <w:szCs w:val="22"/>
          <w:highlight w:val="none"/>
          <w:u w:val="single"/>
        </w:rPr>
        <w:t>13</w:t>
      </w:r>
      <w:r>
        <w:rPr>
          <w:rFonts w:hint="eastAsia" w:cs="宋体"/>
          <w:color w:val="auto"/>
          <w:sz w:val="22"/>
          <w:szCs w:val="22"/>
          <w:highlight w:val="none"/>
        </w:rPr>
        <w:t>日(节假日除外)，每日上午9:00至11:30，下午14:00至17:00(北京时间，下同)。</w:t>
      </w:r>
    </w:p>
    <w:p>
      <w:pPr>
        <w:pStyle w:val="30"/>
        <w:spacing w:line="360" w:lineRule="auto"/>
        <w:ind w:firstLine="420"/>
        <w:rPr>
          <w:rFonts w:cs="宋体"/>
          <w:color w:val="auto"/>
          <w:sz w:val="22"/>
          <w:szCs w:val="22"/>
          <w:highlight w:val="none"/>
        </w:rPr>
      </w:pPr>
      <w:r>
        <w:rPr>
          <w:rFonts w:hint="eastAsia" w:cs="宋体"/>
          <w:color w:val="auto"/>
          <w:sz w:val="22"/>
          <w:szCs w:val="22"/>
          <w:highlight w:val="none"/>
        </w:rPr>
        <w:t>2、获取地点：湖南新星项目管理有限公司招标部（长沙市芙蓉中路一段479号建鸿达现代城1707室）。</w:t>
      </w:r>
    </w:p>
    <w:p>
      <w:pPr>
        <w:pStyle w:val="30"/>
        <w:spacing w:line="360" w:lineRule="auto"/>
        <w:ind w:firstLine="420"/>
        <w:rPr>
          <w:rFonts w:cs="宋体"/>
          <w:color w:val="auto"/>
          <w:sz w:val="22"/>
          <w:szCs w:val="22"/>
          <w:highlight w:val="none"/>
        </w:rPr>
      </w:pPr>
      <w:r>
        <w:rPr>
          <w:rFonts w:hint="eastAsia" w:cs="宋体"/>
          <w:color w:val="auto"/>
          <w:sz w:val="22"/>
          <w:szCs w:val="22"/>
          <w:highlight w:val="none"/>
        </w:rPr>
        <w:t>3、获取方式：法定代表人或其授权委托人持法定代表人身份证明或授权委托书(附法定代表人身份证明)、本人身份证等原件获取采购文件。</w:t>
      </w:r>
    </w:p>
    <w:p>
      <w:pPr>
        <w:pStyle w:val="30"/>
        <w:spacing w:line="360" w:lineRule="auto"/>
        <w:ind w:firstLine="420"/>
        <w:rPr>
          <w:rFonts w:cs="宋体"/>
          <w:color w:val="auto"/>
          <w:sz w:val="22"/>
          <w:szCs w:val="22"/>
          <w:highlight w:val="none"/>
        </w:rPr>
      </w:pPr>
      <w:r>
        <w:rPr>
          <w:rFonts w:hint="eastAsia" w:cs="宋体"/>
          <w:color w:val="auto"/>
          <w:sz w:val="22"/>
          <w:szCs w:val="22"/>
          <w:highlight w:val="none"/>
        </w:rPr>
        <w:t>采购文件售价（人民币）：400.00元/份，售后不退。</w:t>
      </w:r>
    </w:p>
    <w:p>
      <w:pPr>
        <w:pStyle w:val="30"/>
        <w:spacing w:line="360" w:lineRule="auto"/>
        <w:ind w:firstLine="442" w:firstLineChars="200"/>
        <w:rPr>
          <w:rFonts w:cs="宋体"/>
          <w:b/>
          <w:color w:val="auto"/>
          <w:sz w:val="22"/>
          <w:szCs w:val="22"/>
          <w:highlight w:val="none"/>
        </w:rPr>
      </w:pPr>
      <w:r>
        <w:rPr>
          <w:rFonts w:hint="eastAsia" w:cs="宋体"/>
          <w:b/>
          <w:color w:val="auto"/>
          <w:sz w:val="22"/>
          <w:szCs w:val="22"/>
          <w:highlight w:val="none"/>
        </w:rPr>
        <w:t>（六）提交响应文件的截止时间：</w:t>
      </w:r>
    </w:p>
    <w:p>
      <w:pPr>
        <w:pStyle w:val="30"/>
        <w:spacing w:line="360" w:lineRule="auto"/>
        <w:ind w:firstLine="440" w:firstLineChars="200"/>
        <w:rPr>
          <w:rFonts w:cs="宋体"/>
          <w:color w:val="auto"/>
          <w:sz w:val="22"/>
          <w:szCs w:val="22"/>
          <w:highlight w:val="none"/>
        </w:rPr>
      </w:pPr>
      <w:r>
        <w:rPr>
          <w:rFonts w:hint="eastAsia" w:cs="宋体"/>
          <w:color w:val="auto"/>
          <w:sz w:val="22"/>
          <w:szCs w:val="22"/>
          <w:highlight w:val="none"/>
        </w:rPr>
        <w:t>1、提交首次响应文件截止时间：</w:t>
      </w:r>
      <w:r>
        <w:rPr>
          <w:rFonts w:hint="eastAsia" w:cs="宋体"/>
          <w:color w:val="auto"/>
          <w:sz w:val="22"/>
          <w:szCs w:val="22"/>
          <w:highlight w:val="none"/>
          <w:u w:val="single"/>
        </w:rPr>
        <w:t>2022</w:t>
      </w:r>
      <w:r>
        <w:rPr>
          <w:rFonts w:hint="eastAsia" w:cs="宋体"/>
          <w:color w:val="auto"/>
          <w:sz w:val="22"/>
          <w:szCs w:val="22"/>
          <w:highlight w:val="none"/>
        </w:rPr>
        <w:t>年</w:t>
      </w:r>
      <w:r>
        <w:rPr>
          <w:rFonts w:hint="eastAsia" w:cs="宋体"/>
          <w:color w:val="auto"/>
          <w:sz w:val="22"/>
          <w:szCs w:val="22"/>
          <w:highlight w:val="none"/>
          <w:u w:val="single"/>
        </w:rPr>
        <w:t>7</w:t>
      </w:r>
      <w:r>
        <w:rPr>
          <w:rFonts w:hint="eastAsia" w:cs="宋体"/>
          <w:color w:val="auto"/>
          <w:sz w:val="22"/>
          <w:szCs w:val="22"/>
          <w:highlight w:val="none"/>
        </w:rPr>
        <w:t>月</w:t>
      </w:r>
      <w:r>
        <w:rPr>
          <w:rFonts w:hint="eastAsia" w:cs="宋体"/>
          <w:color w:val="auto"/>
          <w:sz w:val="22"/>
          <w:szCs w:val="22"/>
          <w:highlight w:val="none"/>
          <w:u w:val="single"/>
        </w:rPr>
        <w:t>15</w:t>
      </w:r>
      <w:r>
        <w:rPr>
          <w:rFonts w:hint="eastAsia" w:cs="宋体"/>
          <w:color w:val="auto"/>
          <w:sz w:val="22"/>
          <w:szCs w:val="22"/>
          <w:highlight w:val="none"/>
        </w:rPr>
        <w:t>日</w:t>
      </w:r>
      <w:r>
        <w:rPr>
          <w:rFonts w:hint="eastAsia" w:cs="宋体"/>
          <w:color w:val="auto"/>
          <w:sz w:val="22"/>
          <w:szCs w:val="22"/>
          <w:highlight w:val="none"/>
          <w:u w:val="single"/>
        </w:rPr>
        <w:t>10</w:t>
      </w:r>
      <w:r>
        <w:rPr>
          <w:rFonts w:hint="eastAsia" w:cs="宋体"/>
          <w:color w:val="auto"/>
          <w:sz w:val="22"/>
          <w:szCs w:val="22"/>
          <w:highlight w:val="none"/>
        </w:rPr>
        <w:t>时</w:t>
      </w:r>
      <w:r>
        <w:rPr>
          <w:rFonts w:hint="eastAsia" w:cs="宋体"/>
          <w:color w:val="auto"/>
          <w:sz w:val="22"/>
          <w:szCs w:val="22"/>
          <w:highlight w:val="none"/>
          <w:u w:val="single"/>
        </w:rPr>
        <w:t>00</w:t>
      </w:r>
      <w:r>
        <w:rPr>
          <w:rFonts w:hint="eastAsia" w:cs="宋体"/>
          <w:color w:val="auto"/>
          <w:sz w:val="22"/>
          <w:szCs w:val="22"/>
          <w:highlight w:val="none"/>
        </w:rPr>
        <w:t>分止，超过截止时间的响应文件将被拒绝。</w:t>
      </w:r>
    </w:p>
    <w:p>
      <w:pPr>
        <w:pStyle w:val="30"/>
        <w:spacing w:line="360" w:lineRule="auto"/>
        <w:ind w:firstLine="440" w:firstLineChars="200"/>
        <w:rPr>
          <w:rFonts w:cs="宋体"/>
          <w:color w:val="auto"/>
          <w:sz w:val="22"/>
          <w:szCs w:val="22"/>
          <w:highlight w:val="none"/>
        </w:rPr>
      </w:pPr>
      <w:r>
        <w:rPr>
          <w:rFonts w:hint="eastAsia" w:cs="宋体"/>
          <w:color w:val="auto"/>
          <w:sz w:val="22"/>
          <w:szCs w:val="22"/>
          <w:highlight w:val="none"/>
        </w:rPr>
        <w:t>2、首次响应文件开启时间：</w:t>
      </w:r>
      <w:r>
        <w:rPr>
          <w:rFonts w:hint="eastAsia" w:cs="宋体"/>
          <w:color w:val="auto"/>
          <w:sz w:val="22"/>
          <w:szCs w:val="22"/>
          <w:highlight w:val="none"/>
          <w:u w:val="single"/>
        </w:rPr>
        <w:t>2022</w:t>
      </w:r>
      <w:r>
        <w:rPr>
          <w:rFonts w:hint="eastAsia" w:cs="宋体"/>
          <w:color w:val="auto"/>
          <w:sz w:val="22"/>
          <w:szCs w:val="22"/>
          <w:highlight w:val="none"/>
        </w:rPr>
        <w:t>年</w:t>
      </w:r>
      <w:r>
        <w:rPr>
          <w:rFonts w:hint="eastAsia" w:cs="宋体"/>
          <w:color w:val="auto"/>
          <w:sz w:val="22"/>
          <w:szCs w:val="22"/>
          <w:highlight w:val="none"/>
          <w:u w:val="single"/>
        </w:rPr>
        <w:t>7</w:t>
      </w:r>
      <w:r>
        <w:rPr>
          <w:rFonts w:hint="eastAsia" w:cs="宋体"/>
          <w:color w:val="auto"/>
          <w:sz w:val="22"/>
          <w:szCs w:val="22"/>
          <w:highlight w:val="none"/>
        </w:rPr>
        <w:t>月</w:t>
      </w:r>
      <w:r>
        <w:rPr>
          <w:rFonts w:hint="eastAsia" w:cs="宋体"/>
          <w:color w:val="auto"/>
          <w:sz w:val="22"/>
          <w:szCs w:val="22"/>
          <w:highlight w:val="none"/>
          <w:u w:val="single"/>
        </w:rPr>
        <w:t>15</w:t>
      </w:r>
      <w:r>
        <w:rPr>
          <w:rFonts w:hint="eastAsia" w:cs="宋体"/>
          <w:color w:val="auto"/>
          <w:sz w:val="22"/>
          <w:szCs w:val="22"/>
          <w:highlight w:val="none"/>
        </w:rPr>
        <w:t>日</w:t>
      </w:r>
      <w:r>
        <w:rPr>
          <w:rFonts w:hint="eastAsia" w:cs="宋体"/>
          <w:color w:val="auto"/>
          <w:sz w:val="22"/>
          <w:szCs w:val="22"/>
          <w:highlight w:val="none"/>
          <w:u w:val="single"/>
        </w:rPr>
        <w:t>10</w:t>
      </w:r>
      <w:r>
        <w:rPr>
          <w:rFonts w:hint="eastAsia" w:cs="宋体"/>
          <w:color w:val="auto"/>
          <w:sz w:val="22"/>
          <w:szCs w:val="22"/>
          <w:highlight w:val="none"/>
        </w:rPr>
        <w:t>时</w:t>
      </w:r>
      <w:r>
        <w:rPr>
          <w:rFonts w:hint="eastAsia" w:cs="宋体"/>
          <w:color w:val="auto"/>
          <w:sz w:val="22"/>
          <w:szCs w:val="22"/>
          <w:highlight w:val="none"/>
          <w:u w:val="single"/>
        </w:rPr>
        <w:t>00</w:t>
      </w:r>
      <w:r>
        <w:rPr>
          <w:rFonts w:hint="eastAsia" w:cs="宋体"/>
          <w:color w:val="auto"/>
          <w:sz w:val="22"/>
          <w:szCs w:val="22"/>
          <w:highlight w:val="none"/>
        </w:rPr>
        <w:t>分</w:t>
      </w:r>
    </w:p>
    <w:p>
      <w:pPr>
        <w:pStyle w:val="30"/>
        <w:spacing w:line="360" w:lineRule="auto"/>
        <w:ind w:firstLine="440" w:firstLineChars="200"/>
        <w:rPr>
          <w:rFonts w:cs="宋体"/>
          <w:color w:val="auto"/>
          <w:sz w:val="22"/>
          <w:szCs w:val="22"/>
          <w:highlight w:val="none"/>
        </w:rPr>
      </w:pPr>
      <w:r>
        <w:rPr>
          <w:rFonts w:hint="eastAsia" w:cs="宋体"/>
          <w:color w:val="auto"/>
          <w:sz w:val="22"/>
          <w:szCs w:val="22"/>
          <w:highlight w:val="none"/>
        </w:rPr>
        <w:t>3、首次响应文件提交地点：湖南新星项目管理有限公司开标室（长沙市芙蓉中路一段479号建鸿达现代城1707室会议室）</w:t>
      </w:r>
    </w:p>
    <w:p>
      <w:pPr>
        <w:spacing w:line="360" w:lineRule="auto"/>
        <w:ind w:firstLine="442" w:firstLineChars="200"/>
        <w:rPr>
          <w:rFonts w:ascii="宋体" w:hAnsi="宋体" w:cs="宋体"/>
          <w:b/>
          <w:color w:val="auto"/>
          <w:sz w:val="22"/>
          <w:szCs w:val="22"/>
          <w:highlight w:val="none"/>
        </w:rPr>
      </w:pPr>
      <w:r>
        <w:rPr>
          <w:rFonts w:hint="eastAsia" w:cs="宋体"/>
          <w:b/>
          <w:color w:val="auto"/>
          <w:sz w:val="22"/>
          <w:szCs w:val="22"/>
          <w:highlight w:val="none"/>
        </w:rPr>
        <w:t>（七）</w:t>
      </w:r>
      <w:r>
        <w:rPr>
          <w:rFonts w:hint="eastAsia" w:ascii="宋体" w:hAnsi="宋体" w:cs="宋体"/>
          <w:b/>
          <w:color w:val="auto"/>
          <w:sz w:val="22"/>
          <w:szCs w:val="22"/>
          <w:highlight w:val="none"/>
        </w:rPr>
        <w:t>谈判保证金</w:t>
      </w:r>
    </w:p>
    <w:p>
      <w:pPr>
        <w:spacing w:line="360" w:lineRule="auto"/>
        <w:ind w:firstLine="420"/>
        <w:rPr>
          <w:rFonts w:ascii="宋体" w:hAnsi="宋体"/>
          <w:bCs/>
          <w:color w:val="auto"/>
          <w:sz w:val="22"/>
          <w:szCs w:val="22"/>
          <w:highlight w:val="none"/>
        </w:rPr>
      </w:pPr>
      <w:r>
        <w:rPr>
          <w:rFonts w:hint="eastAsia" w:ascii="宋体" w:hAnsi="宋体"/>
          <w:bCs/>
          <w:color w:val="auto"/>
          <w:sz w:val="22"/>
          <w:szCs w:val="22"/>
          <w:highlight w:val="none"/>
        </w:rPr>
        <w:t>（1）本项目要求在提交首次响应文件的截止时间前缴纳谈判保证金。</w:t>
      </w:r>
    </w:p>
    <w:p>
      <w:pPr>
        <w:spacing w:line="360" w:lineRule="auto"/>
        <w:ind w:firstLine="420"/>
        <w:rPr>
          <w:rFonts w:ascii="宋体" w:hAnsi="宋体"/>
          <w:bCs/>
          <w:color w:val="auto"/>
          <w:sz w:val="22"/>
          <w:szCs w:val="22"/>
          <w:highlight w:val="none"/>
        </w:rPr>
      </w:pPr>
      <w:r>
        <w:rPr>
          <w:rFonts w:hint="eastAsia" w:ascii="宋体" w:hAnsi="宋体"/>
          <w:bCs/>
          <w:color w:val="auto"/>
          <w:sz w:val="22"/>
          <w:szCs w:val="22"/>
          <w:highlight w:val="none"/>
        </w:rPr>
        <w:t>（2）谈判保证金为人民币10000.00元。以支票、汇票、本票或金融机构、担保机构出具的保函等非现金形式缴入以下账户，查询已经到账，视为已缴纳。</w:t>
      </w:r>
    </w:p>
    <w:p>
      <w:pPr>
        <w:spacing w:line="360" w:lineRule="auto"/>
        <w:ind w:firstLine="420"/>
        <w:rPr>
          <w:rFonts w:ascii="宋体" w:hAnsi="宋体"/>
          <w:bCs/>
          <w:color w:val="auto"/>
          <w:sz w:val="22"/>
          <w:szCs w:val="22"/>
          <w:highlight w:val="none"/>
        </w:rPr>
      </w:pPr>
      <w:r>
        <w:rPr>
          <w:rFonts w:hint="eastAsia" w:ascii="宋体" w:hAnsi="宋体"/>
          <w:bCs/>
          <w:color w:val="auto"/>
          <w:sz w:val="22"/>
          <w:szCs w:val="22"/>
          <w:highlight w:val="none"/>
        </w:rPr>
        <w:t>账户名称：湖南新星项目管理有限公司</w:t>
      </w:r>
    </w:p>
    <w:p>
      <w:pPr>
        <w:spacing w:line="360" w:lineRule="auto"/>
        <w:ind w:firstLine="420"/>
        <w:rPr>
          <w:rFonts w:ascii="宋体" w:hAnsi="宋体"/>
          <w:bCs/>
          <w:color w:val="auto"/>
          <w:sz w:val="22"/>
          <w:szCs w:val="22"/>
          <w:highlight w:val="none"/>
        </w:rPr>
      </w:pPr>
      <w:r>
        <w:rPr>
          <w:rFonts w:hint="eastAsia" w:ascii="宋体" w:hAnsi="宋体"/>
          <w:bCs/>
          <w:color w:val="auto"/>
          <w:sz w:val="22"/>
          <w:szCs w:val="22"/>
          <w:highlight w:val="none"/>
        </w:rPr>
        <w:t>开户银行：工商银行长沙松桂园支行</w:t>
      </w:r>
    </w:p>
    <w:p>
      <w:pPr>
        <w:spacing w:line="360" w:lineRule="auto"/>
        <w:ind w:firstLine="420"/>
        <w:rPr>
          <w:rFonts w:ascii="宋体" w:hAnsi="宋体"/>
          <w:bCs/>
          <w:color w:val="auto"/>
          <w:sz w:val="22"/>
          <w:szCs w:val="22"/>
          <w:highlight w:val="none"/>
        </w:rPr>
      </w:pPr>
      <w:r>
        <w:rPr>
          <w:rFonts w:hint="eastAsia" w:ascii="宋体" w:hAnsi="宋体"/>
          <w:bCs/>
          <w:color w:val="auto"/>
          <w:sz w:val="22"/>
          <w:szCs w:val="22"/>
          <w:highlight w:val="none"/>
        </w:rPr>
        <w:t>账    号：1901 0041 1902 0111 824</w:t>
      </w:r>
    </w:p>
    <w:p>
      <w:pPr>
        <w:pStyle w:val="30"/>
        <w:spacing w:line="360" w:lineRule="auto"/>
        <w:ind w:firstLine="442" w:firstLineChars="200"/>
        <w:rPr>
          <w:b/>
          <w:bCs/>
          <w:color w:val="auto"/>
          <w:sz w:val="22"/>
          <w:szCs w:val="22"/>
          <w:highlight w:val="none"/>
        </w:rPr>
      </w:pPr>
      <w:r>
        <w:rPr>
          <w:rFonts w:hint="eastAsia" w:cs="宋体"/>
          <w:b/>
          <w:bCs/>
          <w:color w:val="auto"/>
          <w:sz w:val="22"/>
          <w:szCs w:val="22"/>
          <w:highlight w:val="none"/>
        </w:rPr>
        <w:t>（八）公告期限：</w:t>
      </w:r>
      <w:r>
        <w:rPr>
          <w:rFonts w:hint="eastAsia" w:cs="宋体"/>
          <w:color w:val="auto"/>
          <w:sz w:val="22"/>
          <w:szCs w:val="22"/>
          <w:highlight w:val="none"/>
        </w:rPr>
        <w:t>自发布之日起至</w:t>
      </w:r>
      <w:r>
        <w:rPr>
          <w:rFonts w:hint="eastAsia" w:cs="宋体"/>
          <w:color w:val="auto"/>
          <w:sz w:val="22"/>
          <w:szCs w:val="22"/>
          <w:highlight w:val="none"/>
          <w:u w:val="single"/>
        </w:rPr>
        <w:t>2022</w:t>
      </w:r>
      <w:r>
        <w:rPr>
          <w:rFonts w:hint="eastAsia" w:cs="宋体"/>
          <w:color w:val="auto"/>
          <w:sz w:val="22"/>
          <w:szCs w:val="22"/>
          <w:highlight w:val="none"/>
        </w:rPr>
        <w:t>年</w:t>
      </w:r>
      <w:r>
        <w:rPr>
          <w:rFonts w:hint="eastAsia" w:cs="宋体"/>
          <w:color w:val="auto"/>
          <w:sz w:val="22"/>
          <w:szCs w:val="22"/>
          <w:highlight w:val="none"/>
          <w:u w:val="single"/>
        </w:rPr>
        <w:t>7</w:t>
      </w:r>
      <w:r>
        <w:rPr>
          <w:rFonts w:hint="eastAsia" w:cs="宋体"/>
          <w:color w:val="auto"/>
          <w:sz w:val="22"/>
          <w:szCs w:val="22"/>
          <w:highlight w:val="none"/>
        </w:rPr>
        <w:t>月</w:t>
      </w:r>
      <w:r>
        <w:rPr>
          <w:rFonts w:hint="eastAsia" w:cs="宋体"/>
          <w:color w:val="auto"/>
          <w:sz w:val="22"/>
          <w:szCs w:val="22"/>
          <w:highlight w:val="none"/>
          <w:u w:val="single"/>
        </w:rPr>
        <w:t>13</w:t>
      </w:r>
      <w:r>
        <w:rPr>
          <w:rFonts w:hint="eastAsia" w:cs="宋体"/>
          <w:color w:val="auto"/>
          <w:sz w:val="22"/>
          <w:szCs w:val="22"/>
          <w:highlight w:val="none"/>
        </w:rPr>
        <w:t>日止。</w:t>
      </w:r>
    </w:p>
    <w:p>
      <w:pPr>
        <w:spacing w:line="360" w:lineRule="auto"/>
        <w:ind w:firstLine="433" w:firstLineChars="196"/>
        <w:rPr>
          <w:rFonts w:ascii="宋体" w:hAnsi="宋体"/>
          <w:b/>
          <w:bCs/>
          <w:color w:val="auto"/>
          <w:sz w:val="22"/>
          <w:szCs w:val="22"/>
          <w:highlight w:val="none"/>
        </w:rPr>
      </w:pPr>
      <w:r>
        <w:rPr>
          <w:rFonts w:hint="eastAsia" w:ascii="宋体" w:hAnsi="宋体"/>
          <w:b/>
          <w:bCs/>
          <w:color w:val="auto"/>
          <w:sz w:val="22"/>
          <w:szCs w:val="22"/>
          <w:highlight w:val="none"/>
        </w:rPr>
        <w:t>（九）联系方式</w:t>
      </w:r>
    </w:p>
    <w:p>
      <w:pPr>
        <w:adjustRightInd w:val="0"/>
        <w:snapToGrid w:val="0"/>
        <w:spacing w:line="360" w:lineRule="auto"/>
        <w:ind w:firstLine="433" w:firstLineChars="196"/>
        <w:rPr>
          <w:rFonts w:ascii="宋体" w:hAnsi="宋体"/>
          <w:b/>
          <w:bCs/>
          <w:color w:val="auto"/>
          <w:sz w:val="22"/>
          <w:szCs w:val="22"/>
          <w:highlight w:val="none"/>
        </w:rPr>
      </w:pPr>
      <w:r>
        <w:rPr>
          <w:rFonts w:hint="eastAsia" w:ascii="宋体" w:hAnsi="宋体"/>
          <w:b/>
          <w:bCs/>
          <w:color w:val="auto"/>
          <w:sz w:val="22"/>
          <w:szCs w:val="22"/>
          <w:highlight w:val="none"/>
        </w:rPr>
        <w:t>1</w:t>
      </w:r>
      <w:r>
        <w:rPr>
          <w:rFonts w:hint="eastAsia" w:ascii="宋体" w:hAnsi="宋体"/>
          <w:color w:val="auto"/>
          <w:sz w:val="22"/>
          <w:szCs w:val="22"/>
          <w:highlight w:val="none"/>
        </w:rPr>
        <w:t>、</w:t>
      </w:r>
      <w:r>
        <w:rPr>
          <w:rFonts w:hint="eastAsia" w:ascii="宋体" w:hAnsi="宋体"/>
          <w:b/>
          <w:bCs/>
          <w:color w:val="auto"/>
          <w:sz w:val="22"/>
          <w:szCs w:val="22"/>
          <w:highlight w:val="none"/>
        </w:rPr>
        <w:t>采购人信息</w:t>
      </w:r>
    </w:p>
    <w:p>
      <w:pPr>
        <w:adjustRightInd w:val="0"/>
        <w:snapToGrid w:val="0"/>
        <w:spacing w:line="360" w:lineRule="auto"/>
        <w:ind w:firstLine="431" w:firstLineChars="196"/>
        <w:rPr>
          <w:rFonts w:ascii="宋体" w:hAnsi="宋体"/>
          <w:color w:val="auto"/>
          <w:sz w:val="22"/>
          <w:szCs w:val="22"/>
          <w:highlight w:val="none"/>
        </w:rPr>
      </w:pPr>
      <w:r>
        <w:rPr>
          <w:rFonts w:hint="eastAsia" w:ascii="宋体" w:hAnsi="宋体"/>
          <w:color w:val="auto"/>
          <w:sz w:val="22"/>
          <w:szCs w:val="22"/>
          <w:highlight w:val="none"/>
        </w:rPr>
        <w:t>名 称：保险职业学院</w:t>
      </w:r>
    </w:p>
    <w:p>
      <w:pPr>
        <w:adjustRightInd w:val="0"/>
        <w:snapToGrid w:val="0"/>
        <w:spacing w:line="360" w:lineRule="auto"/>
        <w:ind w:firstLine="431" w:firstLineChars="196"/>
        <w:rPr>
          <w:rFonts w:ascii="宋体" w:hAnsi="宋体"/>
          <w:color w:val="auto"/>
          <w:sz w:val="22"/>
          <w:szCs w:val="22"/>
          <w:highlight w:val="none"/>
        </w:rPr>
      </w:pPr>
      <w:r>
        <w:rPr>
          <w:rFonts w:hint="eastAsia" w:ascii="宋体" w:hAnsi="宋体"/>
          <w:color w:val="auto"/>
          <w:sz w:val="22"/>
          <w:szCs w:val="22"/>
          <w:highlight w:val="none"/>
        </w:rPr>
        <w:t>地 址：长沙市天心区中豹塘路196号</w:t>
      </w:r>
    </w:p>
    <w:p>
      <w:pPr>
        <w:adjustRightInd w:val="0"/>
        <w:snapToGrid w:val="0"/>
        <w:spacing w:line="360" w:lineRule="auto"/>
        <w:ind w:firstLine="431" w:firstLineChars="196"/>
        <w:rPr>
          <w:rFonts w:ascii="宋体" w:hAnsi="宋体"/>
          <w:color w:val="auto"/>
          <w:sz w:val="22"/>
          <w:szCs w:val="22"/>
          <w:highlight w:val="none"/>
        </w:rPr>
      </w:pPr>
      <w:r>
        <w:rPr>
          <w:rFonts w:hint="eastAsia" w:ascii="宋体" w:hAnsi="宋体"/>
          <w:color w:val="auto"/>
          <w:sz w:val="22"/>
          <w:szCs w:val="22"/>
          <w:highlight w:val="none"/>
        </w:rPr>
        <w:t xml:space="preserve">联系人：毛老师、谭老师 </w:t>
      </w:r>
    </w:p>
    <w:p>
      <w:pPr>
        <w:adjustRightInd w:val="0"/>
        <w:snapToGrid w:val="0"/>
        <w:spacing w:line="360" w:lineRule="auto"/>
        <w:ind w:firstLine="431" w:firstLineChars="196"/>
        <w:rPr>
          <w:rFonts w:ascii="宋体" w:hAnsi="宋体"/>
          <w:color w:val="auto"/>
          <w:sz w:val="22"/>
          <w:szCs w:val="22"/>
          <w:highlight w:val="none"/>
        </w:rPr>
      </w:pPr>
      <w:r>
        <w:rPr>
          <w:rFonts w:hint="eastAsia" w:ascii="宋体" w:hAnsi="宋体"/>
          <w:color w:val="auto"/>
          <w:sz w:val="22"/>
          <w:szCs w:val="22"/>
          <w:highlight w:val="none"/>
        </w:rPr>
        <w:t>电 话：0731-82811256</w:t>
      </w:r>
    </w:p>
    <w:p>
      <w:pPr>
        <w:adjustRightInd w:val="0"/>
        <w:snapToGrid w:val="0"/>
        <w:spacing w:line="360" w:lineRule="auto"/>
        <w:ind w:firstLine="433" w:firstLineChars="196"/>
        <w:rPr>
          <w:rFonts w:ascii="宋体" w:hAnsi="宋体" w:cs="宋体"/>
          <w:b/>
          <w:bCs/>
          <w:color w:val="auto"/>
          <w:sz w:val="22"/>
          <w:szCs w:val="22"/>
          <w:highlight w:val="none"/>
        </w:rPr>
      </w:pPr>
      <w:r>
        <w:rPr>
          <w:rFonts w:hint="eastAsia" w:ascii="宋体" w:hAnsi="宋体" w:cs="宋体"/>
          <w:b/>
          <w:bCs/>
          <w:color w:val="auto"/>
          <w:sz w:val="22"/>
          <w:szCs w:val="22"/>
          <w:highlight w:val="none"/>
        </w:rPr>
        <w:t>2</w:t>
      </w:r>
      <w:r>
        <w:rPr>
          <w:rFonts w:hint="eastAsia" w:ascii="宋体" w:hAnsi="宋体" w:cs="宋体"/>
          <w:color w:val="auto"/>
          <w:sz w:val="22"/>
          <w:szCs w:val="22"/>
          <w:highlight w:val="none"/>
        </w:rPr>
        <w:t>、</w:t>
      </w:r>
      <w:r>
        <w:rPr>
          <w:rFonts w:hint="eastAsia" w:ascii="宋体" w:hAnsi="宋体" w:cs="宋体"/>
          <w:b/>
          <w:bCs/>
          <w:color w:val="auto"/>
          <w:sz w:val="22"/>
          <w:szCs w:val="22"/>
          <w:highlight w:val="none"/>
        </w:rPr>
        <w:t>采购代理机构信息</w:t>
      </w:r>
    </w:p>
    <w:p>
      <w:pPr>
        <w:widowControl/>
        <w:spacing w:line="360" w:lineRule="auto"/>
        <w:ind w:firstLine="440" w:firstLineChars="200"/>
        <w:jc w:val="left"/>
        <w:rPr>
          <w:rFonts w:ascii="宋体" w:hAnsi="宋体" w:cs="宋体"/>
          <w:color w:val="auto"/>
          <w:sz w:val="22"/>
          <w:szCs w:val="22"/>
          <w:highlight w:val="none"/>
        </w:rPr>
      </w:pPr>
      <w:bookmarkStart w:id="20" w:name="_Toc22201064"/>
      <w:r>
        <w:rPr>
          <w:rFonts w:hint="eastAsia" w:ascii="宋体" w:hAnsi="宋体" w:cs="宋体"/>
          <w:color w:val="auto"/>
          <w:kern w:val="0"/>
          <w:sz w:val="22"/>
          <w:szCs w:val="22"/>
          <w:highlight w:val="none"/>
        </w:rPr>
        <w:t>名 称：湖南新星项目管理有限公司</w:t>
      </w:r>
    </w:p>
    <w:p>
      <w:pPr>
        <w:widowControl/>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kern w:val="0"/>
          <w:sz w:val="22"/>
          <w:szCs w:val="22"/>
          <w:highlight w:val="none"/>
        </w:rPr>
        <w:t>地 址：长沙市芙蓉中路一段479号建鸿达现代城1707室</w:t>
      </w:r>
    </w:p>
    <w:p>
      <w:pPr>
        <w:widowControl/>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联系人：段得前、吴  颖、康  艳 </w:t>
      </w:r>
    </w:p>
    <w:p>
      <w:pPr>
        <w:widowControl/>
        <w:spacing w:line="360" w:lineRule="auto"/>
        <w:ind w:firstLine="440" w:firstLineChars="200"/>
        <w:jc w:val="left"/>
        <w:rPr>
          <w:rFonts w:ascii="宋体" w:hAnsi="宋体" w:cs="宋体"/>
          <w:color w:val="auto"/>
          <w:sz w:val="22"/>
          <w:szCs w:val="22"/>
          <w:highlight w:val="none"/>
        </w:rPr>
      </w:pPr>
      <w:r>
        <w:rPr>
          <w:rFonts w:hint="eastAsia" w:ascii="宋体" w:hAnsi="宋体" w:cs="宋体"/>
          <w:color w:val="auto"/>
          <w:kern w:val="0"/>
          <w:sz w:val="22"/>
          <w:szCs w:val="22"/>
          <w:highlight w:val="none"/>
        </w:rPr>
        <w:t>电 话：0731-84452269</w:t>
      </w:r>
    </w:p>
    <w:bookmarkEnd w:id="20"/>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ind w:firstLine="3253" w:firstLineChars="900"/>
        <w:outlineLvl w:val="0"/>
        <w:rPr>
          <w:rFonts w:ascii="黑体" w:hAnsi="黑体" w:eastAsia="黑体"/>
          <w:b/>
          <w:color w:val="auto"/>
          <w:sz w:val="36"/>
          <w:szCs w:val="36"/>
          <w:highlight w:val="none"/>
        </w:rPr>
      </w:pPr>
    </w:p>
    <w:p>
      <w:pPr>
        <w:pStyle w:val="2"/>
        <w:ind w:firstLine="361"/>
        <w:rPr>
          <w:rFonts w:ascii="黑体" w:hAnsi="黑体" w:eastAsia="黑体"/>
          <w:b/>
          <w:color w:val="auto"/>
          <w:sz w:val="36"/>
          <w:szCs w:val="36"/>
          <w:highlight w:val="none"/>
        </w:rPr>
      </w:pPr>
    </w:p>
    <w:p>
      <w:pPr>
        <w:pStyle w:val="2"/>
        <w:ind w:firstLine="361"/>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bookmarkStart w:id="21" w:name="_Toc31891"/>
      <w:r>
        <w:rPr>
          <w:rFonts w:hint="eastAsia" w:ascii="黑体" w:hAnsi="黑体" w:eastAsia="黑体"/>
          <w:b/>
          <w:color w:val="auto"/>
          <w:sz w:val="36"/>
          <w:szCs w:val="36"/>
          <w:highlight w:val="none"/>
        </w:rPr>
        <w:t>二、谈判须知</w:t>
      </w:r>
      <w:bookmarkEnd w:id="19"/>
      <w:bookmarkEnd w:id="21"/>
    </w:p>
    <w:p>
      <w:pPr>
        <w:pStyle w:val="6"/>
        <w:keepNext w:val="0"/>
        <w:keepLines w:val="0"/>
        <w:numPr>
          <w:ilvl w:val="2"/>
          <w:numId w:val="0"/>
        </w:numPr>
        <w:adjustRightInd w:val="0"/>
        <w:snapToGrid w:val="0"/>
        <w:spacing w:before="156" w:beforeLines="50" w:after="0" w:line="360" w:lineRule="auto"/>
        <w:jc w:val="center"/>
        <w:rPr>
          <w:rFonts w:ascii="黑体" w:hAnsi="黑体" w:eastAsia="黑体"/>
          <w:color w:val="auto"/>
          <w:sz w:val="28"/>
          <w:szCs w:val="28"/>
          <w:highlight w:val="none"/>
        </w:rPr>
      </w:pPr>
      <w:bookmarkStart w:id="22" w:name="_Toc8164"/>
      <w:bookmarkStart w:id="23" w:name="_Toc26287"/>
      <w:r>
        <w:rPr>
          <w:rFonts w:hint="eastAsia" w:ascii="黑体" w:hAnsi="黑体" w:eastAsia="黑体"/>
          <w:color w:val="auto"/>
          <w:sz w:val="28"/>
          <w:szCs w:val="28"/>
          <w:highlight w:val="none"/>
        </w:rPr>
        <w:t>（一）说明</w:t>
      </w:r>
      <w:bookmarkEnd w:id="22"/>
      <w:bookmarkEnd w:id="23"/>
    </w:p>
    <w:p>
      <w:pPr>
        <w:pStyle w:val="7"/>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1.1本竞争性谈判文件仅适用于保险职业学院学生公寓1、2、3栋整栋、学生公寓9栋13间及部分走道、墙面粉刷工程采购项目。</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2.1采购人名称、地址、电话、联系人见</w:t>
      </w:r>
      <w:r>
        <w:rPr>
          <w:rFonts w:hint="eastAsia" w:asciiTheme="minorEastAsia" w:hAnsiTheme="minorEastAsia" w:eastAsiaTheme="minorEastAsia" w:cstheme="minorEastAsia"/>
          <w:b/>
          <w:color w:val="auto"/>
          <w:szCs w:val="21"/>
          <w:highlight w:val="none"/>
        </w:rPr>
        <w:t>【谈判邀请】</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2.2采购代理机构名称、地址、电话、联系人见</w:t>
      </w:r>
      <w:r>
        <w:rPr>
          <w:rFonts w:hint="eastAsia" w:asciiTheme="minorEastAsia" w:hAnsiTheme="minorEastAsia" w:eastAsiaTheme="minorEastAsia" w:cstheme="minorEastAsia"/>
          <w:b/>
          <w:color w:val="auto"/>
          <w:szCs w:val="21"/>
          <w:highlight w:val="none"/>
        </w:rPr>
        <w:t>【谈判邀请】。</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2.3供应商是指响应谈判文件要求、参加竞争性谈判采购的法人、其他组织或者自然人</w:t>
      </w:r>
      <w:r>
        <w:rPr>
          <w:rFonts w:hint="eastAsia" w:asciiTheme="minorEastAsia" w:hAnsiTheme="minorEastAsia" w:eastAsiaTheme="minorEastAsia" w:cstheme="minorEastAsia"/>
          <w:b/>
          <w:color w:val="auto"/>
          <w:szCs w:val="21"/>
          <w:highlight w:val="none"/>
        </w:rPr>
        <w:t>。</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3.供应商的资格要求</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3.1供应商应当符合</w:t>
      </w:r>
      <w:r>
        <w:rPr>
          <w:rFonts w:hint="eastAsia" w:asciiTheme="minorEastAsia" w:hAnsiTheme="minorEastAsia" w:eastAsiaTheme="minorEastAsia" w:cstheme="minorEastAsia"/>
          <w:b/>
          <w:color w:val="auto"/>
          <w:szCs w:val="21"/>
          <w:highlight w:val="none"/>
        </w:rPr>
        <w:t>【谈判邀请】</w:t>
      </w:r>
      <w:r>
        <w:rPr>
          <w:rFonts w:hint="eastAsia" w:asciiTheme="minorEastAsia" w:hAnsiTheme="minorEastAsia" w:eastAsiaTheme="minorEastAsia" w:cstheme="minorEastAsia"/>
          <w:color w:val="auto"/>
          <w:szCs w:val="21"/>
          <w:highlight w:val="none"/>
        </w:rPr>
        <w:t>规定的供应商资格条件。</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4.参与谈判的费用 </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4.1无论谈判的结果如何，供应商应自行承担所有与竞争性谈判采购活动有关的全部费用。</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5.现场勘察</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5.1本项目不统一组织现场勘察，供应商自行勘察，勘察现场的费用由供应商自己承担，勘察期间所发生的人身伤害及财产损失由供应商自己负责。</w:t>
      </w:r>
    </w:p>
    <w:p>
      <w:pPr>
        <w:adjustRightInd w:val="0"/>
        <w:snapToGrid w:val="0"/>
        <w:spacing w:line="400" w:lineRule="exact"/>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5.2采购人不对供应商据此而做出的推论、理解和结论负责。一旦成交，供应商不得以任何借口，而提出额外补偿，或延长合同期限的要求。</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24" w:name="_Toc5312"/>
      <w:bookmarkStart w:id="25" w:name="_Toc26856"/>
      <w:r>
        <w:rPr>
          <w:rFonts w:hint="eastAsia" w:asciiTheme="minorEastAsia" w:hAnsiTheme="minorEastAsia" w:eastAsiaTheme="minorEastAsia" w:cstheme="minorEastAsia"/>
          <w:color w:val="auto"/>
          <w:sz w:val="28"/>
          <w:szCs w:val="28"/>
          <w:highlight w:val="none"/>
        </w:rPr>
        <w:t>（二）谈判文件</w:t>
      </w:r>
      <w:bookmarkEnd w:id="24"/>
      <w:bookmarkEnd w:id="25"/>
    </w:p>
    <w:p>
      <w:pPr>
        <w:pStyle w:val="7"/>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6.谈判文件的组成</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6.1谈判文件由下列文件组成：</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（1）谈判邀请</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（2）谈判须知</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（3）采购需求</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（4）采购合同</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（5）响应文件组成</w:t>
      </w:r>
    </w:p>
    <w:p>
      <w:pPr>
        <w:pStyle w:val="16"/>
        <w:adjustRightInd w:val="0"/>
        <w:snapToGrid w:val="0"/>
        <w:spacing w:line="400" w:lineRule="exact"/>
        <w:ind w:firstLine="420" w:firstLineChars="200"/>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6.2</w:t>
      </w:r>
      <w:r>
        <w:rPr>
          <w:rFonts w:hint="eastAsia" w:asciiTheme="minorEastAsia" w:hAnsiTheme="minorEastAsia" w:eastAsiaTheme="minorEastAsia" w:cstheme="minorEastAsia"/>
          <w:color w:val="auto"/>
          <w:kern w:val="0"/>
          <w:highlight w:val="none"/>
        </w:rPr>
        <w:t>采购人、采购代理机构或者谈判小组在提交首次响应文件截止之日前对已发出的谈判文件进行的澄清或者修改，构成谈判文件的组成部分。</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6.3谈判文件中，谈判小组根据与供应商谈判情况可能实质性变动的内容（商务、技术、合同条款等）。对谈判文件作出的实质性变动是谈判文件的有效组成部分。</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6.4供应商应仔细阅读</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文件的全部内容，按照</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文件要求编制响应文件。任何对</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文件的忽略或误解不能作为响应文件存在缺陷或瑕疵的理由，其风险由供应商承担。</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7.谈判文件的澄清</w:t>
      </w:r>
      <w:r>
        <w:rPr>
          <w:rFonts w:hint="eastAsia" w:asciiTheme="minorEastAsia" w:hAnsiTheme="minorEastAsia" w:eastAsiaTheme="minorEastAsia" w:cstheme="minorEastAsia"/>
          <w:color w:val="auto"/>
          <w:sz w:val="24"/>
          <w:szCs w:val="24"/>
          <w:highlight w:val="none"/>
          <w:lang w:val="zh-CN"/>
        </w:rPr>
        <w:t>或者</w:t>
      </w:r>
      <w:r>
        <w:rPr>
          <w:rFonts w:hint="eastAsia" w:asciiTheme="minorEastAsia" w:hAnsiTheme="minorEastAsia" w:eastAsiaTheme="minorEastAsia" w:cstheme="minorEastAsia"/>
          <w:color w:val="auto"/>
          <w:sz w:val="24"/>
          <w:szCs w:val="24"/>
          <w:highlight w:val="none"/>
        </w:rPr>
        <w:t>修改</w:t>
      </w:r>
    </w:p>
    <w:p>
      <w:pPr>
        <w:adjustRightInd w:val="0"/>
        <w:snapToGrid w:val="0"/>
        <w:spacing w:line="400" w:lineRule="exact"/>
        <w:ind w:right="-105" w:rightChars="-50"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7.1在</w:t>
      </w:r>
      <w:r>
        <w:rPr>
          <w:rFonts w:hint="eastAsia" w:asciiTheme="minorEastAsia" w:hAnsiTheme="minorEastAsia" w:eastAsiaTheme="minorEastAsia" w:cstheme="minorEastAsia"/>
          <w:color w:val="auto"/>
          <w:kern w:val="0"/>
          <w:szCs w:val="21"/>
          <w:highlight w:val="none"/>
        </w:rPr>
        <w:t>提交首次响应文件截止之日前，采购人、采购代理机构或者谈判小组可以对已发出的谈判文件进行必要的澄清或者修改。</w:t>
      </w:r>
    </w:p>
    <w:p>
      <w:pPr>
        <w:adjustRightInd w:val="0"/>
        <w:snapToGrid w:val="0"/>
        <w:spacing w:line="400" w:lineRule="exact"/>
        <w:ind w:right="-105" w:rightChars="-50"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26" w:name="_Toc13732"/>
      <w:bookmarkStart w:id="27" w:name="_Toc22516"/>
      <w:r>
        <w:rPr>
          <w:rFonts w:hint="eastAsia" w:asciiTheme="minorEastAsia" w:hAnsiTheme="minorEastAsia" w:eastAsiaTheme="minorEastAsia" w:cstheme="minorEastAsia"/>
          <w:color w:val="auto"/>
          <w:sz w:val="28"/>
          <w:szCs w:val="28"/>
          <w:highlight w:val="none"/>
        </w:rPr>
        <w:t>（三）响应文件</w:t>
      </w:r>
      <w:bookmarkEnd w:id="26"/>
      <w:bookmarkEnd w:id="27"/>
    </w:p>
    <w:p>
      <w:pPr>
        <w:pStyle w:val="7"/>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8.一般要求</w:t>
      </w:r>
    </w:p>
    <w:p>
      <w:pPr>
        <w:adjustRightInd w:val="0"/>
        <w:snapToGrid w:val="0"/>
        <w:spacing w:line="40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8.1供应商应仔细阅读谈判文件的所有内容，按谈判文件的要求编制响应文件，并保证所提供的全部资料的真实性，以使其响应文件对谈判文件做出实质性的响应。</w:t>
      </w:r>
    </w:p>
    <w:p>
      <w:pPr>
        <w:adjustRightInd w:val="0"/>
        <w:snapToGrid w:val="0"/>
        <w:spacing w:line="40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w:t>
      </w:r>
      <w:r>
        <w:rPr>
          <w:rFonts w:hint="eastAsia" w:asciiTheme="minorEastAsia" w:hAnsiTheme="minorEastAsia" w:eastAsiaTheme="minorEastAsia" w:cstheme="minorEastAsia"/>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8.3</w:t>
      </w:r>
      <w:r>
        <w:rPr>
          <w:rFonts w:hint="eastAsia" w:asciiTheme="minorEastAsia" w:hAnsiTheme="minorEastAsia" w:eastAsiaTheme="minorEastAsia" w:cstheme="minorEastAsia"/>
          <w:color w:val="auto"/>
          <w:highlight w:val="none"/>
        </w:rPr>
        <w:t>计量单位应使用我国法定计量单位，未列明时应默认为我国法定计量单位。</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8.4响应文件应采用书面形式，电报、传真、电子邮件形式的响应文件概不接受。</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8.5供应商应按谈判文件中提供的响应文件格式填写。</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9.响应文件的组成</w:t>
      </w:r>
    </w:p>
    <w:p>
      <w:pPr>
        <w:pStyle w:val="73"/>
        <w:spacing w:beforeLines="0" w:line="400" w:lineRule="exact"/>
        <w:ind w:firstLine="48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9.1响应文件包括下列内容：</w:t>
      </w:r>
      <w:r>
        <w:rPr>
          <w:rFonts w:hint="eastAsia" w:asciiTheme="minorEastAsia" w:hAnsiTheme="minorEastAsia" w:eastAsiaTheme="minorEastAsia" w:cstheme="minorEastAsia"/>
          <w:color w:val="auto"/>
          <w:szCs w:val="21"/>
          <w:highlight w:val="none"/>
        </w:rPr>
        <w:t xml:space="preserve"> </w:t>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格式1、谈判响应声明</w:t>
      </w:r>
      <w:r>
        <w:rPr>
          <w:rFonts w:hint="eastAsia" w:asciiTheme="minorEastAsia" w:hAnsiTheme="minorEastAsia" w:eastAsiaTheme="minorEastAsia" w:cstheme="minorEastAsia"/>
          <w:color w:val="auto"/>
          <w:szCs w:val="21"/>
          <w:highlight w:val="none"/>
        </w:rPr>
        <w:tab/>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格式2、报价一览表</w:t>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格式3、保证金缴纳证明材料</w:t>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格式4、供应商基本情况</w:t>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格式5、商务、技术条款偏离表</w:t>
      </w:r>
      <w:r>
        <w:rPr>
          <w:rFonts w:hint="eastAsia" w:asciiTheme="minorEastAsia" w:hAnsiTheme="minorEastAsia" w:eastAsiaTheme="minorEastAsia" w:cstheme="minorEastAsia"/>
          <w:color w:val="auto"/>
          <w:szCs w:val="21"/>
          <w:highlight w:val="none"/>
        </w:rPr>
        <w:tab/>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格式6、施工组织设计</w:t>
      </w:r>
      <w:r>
        <w:rPr>
          <w:rFonts w:hint="eastAsia" w:asciiTheme="minorEastAsia" w:hAnsiTheme="minorEastAsia" w:eastAsiaTheme="minorEastAsia" w:cstheme="minorEastAsia"/>
          <w:color w:val="auto"/>
          <w:szCs w:val="21"/>
          <w:highlight w:val="none"/>
        </w:rPr>
        <w:tab/>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格式7、供应商认为需要提供的其它资料</w:t>
      </w:r>
      <w:r>
        <w:rPr>
          <w:rFonts w:hint="eastAsia" w:asciiTheme="minorEastAsia" w:hAnsiTheme="minorEastAsia" w:eastAsiaTheme="minorEastAsia" w:cstheme="minorEastAsia"/>
          <w:color w:val="auto"/>
          <w:szCs w:val="21"/>
          <w:highlight w:val="none"/>
        </w:rPr>
        <w:tab/>
      </w:r>
    </w:p>
    <w:p>
      <w:pPr>
        <w:adjustRightInd w:val="0"/>
        <w:snapToGrid w:val="0"/>
        <w:spacing w:line="400" w:lineRule="exact"/>
        <w:ind w:firstLine="840" w:firstLineChars="4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格式8、最后报价</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（不需要与响应文件一起提交）</w:t>
      </w:r>
    </w:p>
    <w:p>
      <w:pPr>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9.2在谈判过程中，</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kern w:val="0"/>
          <w:szCs w:val="21"/>
          <w:highlight w:val="none"/>
        </w:rPr>
        <w:t>谈判小组</w:t>
      </w:r>
      <w:r>
        <w:rPr>
          <w:rFonts w:hint="eastAsia" w:asciiTheme="minorEastAsia" w:hAnsiTheme="minorEastAsia" w:eastAsiaTheme="minorEastAsia" w:cstheme="minorEastAsia"/>
          <w:bCs/>
          <w:color w:val="auto"/>
          <w:szCs w:val="21"/>
          <w:highlight w:val="none"/>
        </w:rPr>
        <w:t>书面形式要求</w:t>
      </w:r>
      <w:r>
        <w:rPr>
          <w:rFonts w:hint="eastAsia" w:asciiTheme="minorEastAsia" w:hAnsiTheme="minorEastAsia" w:eastAsiaTheme="minorEastAsia" w:cstheme="minorEastAsia"/>
          <w:color w:val="auto"/>
          <w:kern w:val="0"/>
          <w:szCs w:val="21"/>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szCs w:val="21"/>
          <w:highlight w:val="none"/>
        </w:rPr>
        <w:t>重</w:t>
      </w:r>
      <w:r>
        <w:rPr>
          <w:rFonts w:hint="eastAsia" w:asciiTheme="minorEastAsia" w:hAnsiTheme="minorEastAsia" w:eastAsiaTheme="minorEastAsia" w:cstheme="minorEastAsia"/>
          <w:color w:val="auto"/>
          <w:kern w:val="0"/>
          <w:szCs w:val="21"/>
          <w:highlight w:val="none"/>
        </w:rPr>
        <w:t>新提交的响应文件和</w:t>
      </w:r>
      <w:r>
        <w:rPr>
          <w:rFonts w:hint="eastAsia" w:asciiTheme="minorEastAsia" w:hAnsiTheme="minorEastAsia" w:eastAsiaTheme="minorEastAsia" w:cstheme="minorEastAsia"/>
          <w:color w:val="auto"/>
          <w:highlight w:val="none"/>
        </w:rPr>
        <w:t>最后报价)是</w:t>
      </w:r>
      <w:r>
        <w:rPr>
          <w:rFonts w:hint="eastAsia" w:asciiTheme="minorEastAsia" w:hAnsiTheme="minorEastAsia" w:eastAsiaTheme="minorEastAsia" w:cstheme="minorEastAsia"/>
          <w:color w:val="auto"/>
          <w:szCs w:val="21"/>
          <w:highlight w:val="none"/>
        </w:rPr>
        <w:t>响应文件</w:t>
      </w:r>
      <w:r>
        <w:rPr>
          <w:rFonts w:hint="eastAsia" w:asciiTheme="minorEastAsia" w:hAnsiTheme="minorEastAsia" w:eastAsiaTheme="minorEastAsia" w:cstheme="minorEastAsia"/>
          <w:color w:val="auto"/>
          <w:highlight w:val="none"/>
        </w:rPr>
        <w:t>的有效组成部分。</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1"/>
          <w:highlight w:val="none"/>
        </w:rPr>
        <w:t>供应商无论成交与否，其响应文件不予退还。</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10.报价要求</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10.1供应商应当根据谈判文件要求填写相应表格。</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10.2在报价表填写报价时应注意下列要求：</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（1）采购需求要求的安装、调试、培训、售后服务及其它附加服务的费用。</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（2）所有根据合同或其它原因应由供应商交纳和支付的税款和费用。</w:t>
      </w:r>
    </w:p>
    <w:p>
      <w:pPr>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（3）谈判文件指定交货地点的运输、保险、装卸费。</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（4）实行工程量清单报价的，供应商提交最后报价应与已标价工程量清单总报价一致。</w:t>
      </w:r>
    </w:p>
    <w:p>
      <w:pPr>
        <w:pStyle w:val="68"/>
        <w:widowControl w:val="0"/>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highlight w:val="none"/>
          <w:lang w:val="zh-CN"/>
        </w:rPr>
        <w:t>供应商</w:t>
      </w:r>
      <w:r>
        <w:rPr>
          <w:rFonts w:hint="eastAsia" w:asciiTheme="minorEastAsia" w:hAnsiTheme="minorEastAsia" w:eastAsiaTheme="minorEastAsia" w:cstheme="minorEastAsia"/>
          <w:color w:val="auto"/>
          <w:highlight w:val="none"/>
        </w:rPr>
        <w:t>的最后报价不得超过采购项目预算（最高限价），采购项目预算（最高限价）见</w:t>
      </w:r>
      <w:r>
        <w:rPr>
          <w:rFonts w:hint="eastAsia" w:asciiTheme="minorEastAsia" w:hAnsiTheme="minorEastAsia" w:eastAsiaTheme="minorEastAsia" w:cstheme="minorEastAsia"/>
          <w:b/>
          <w:color w:val="auto"/>
          <w:highlight w:val="none"/>
        </w:rPr>
        <w:t>【谈判邀请】</w:t>
      </w:r>
      <w:r>
        <w:rPr>
          <w:rFonts w:hint="eastAsia" w:asciiTheme="minorEastAsia" w:hAnsiTheme="minorEastAsia" w:eastAsiaTheme="minorEastAsia" w:cstheme="minorEastAsia"/>
          <w:color w:val="auto"/>
          <w:highlight w:val="none"/>
        </w:rPr>
        <w:t>。</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10.4供应商提交的最后报价单价在合同执行过程中是固定不变的，不得以任何理由予以变更。以可变动价格提交的报价将被认为是非实质响应而被拒绝。</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10.5采购人不接受供应商给予的赠品、回扣或者与采购无关的其他商品、服务。</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11.保证金</w:t>
      </w:r>
    </w:p>
    <w:p>
      <w:pPr>
        <w:pStyle w:val="16"/>
        <w:adjustRightInd w:val="0"/>
        <w:snapToGrid w:val="0"/>
        <w:spacing w:line="400" w:lineRule="exact"/>
        <w:ind w:firstLine="42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11.1</w:t>
      </w:r>
      <w:r>
        <w:rPr>
          <w:rFonts w:hint="eastAsia" w:asciiTheme="minorEastAsia" w:hAnsiTheme="minorEastAsia" w:eastAsiaTheme="minorEastAsia" w:cstheme="minorEastAsia"/>
          <w:bCs/>
          <w:color w:val="auto"/>
          <w:highlight w:val="none"/>
        </w:rPr>
        <w:t>谈判文件要求供应商提交保证金的，供应商应按</w:t>
      </w:r>
      <w:r>
        <w:rPr>
          <w:rFonts w:hint="eastAsia" w:asciiTheme="minorEastAsia" w:hAnsiTheme="minorEastAsia" w:eastAsiaTheme="minorEastAsia" w:cstheme="minorEastAsia"/>
          <w:b/>
          <w:bCs/>
          <w:color w:val="auto"/>
          <w:highlight w:val="none"/>
        </w:rPr>
        <w:t>【谈判邀请】</w:t>
      </w:r>
      <w:r>
        <w:rPr>
          <w:rFonts w:hint="eastAsia" w:asciiTheme="minorEastAsia" w:hAnsiTheme="minorEastAsia" w:eastAsiaTheme="minorEastAsia" w:cstheme="minorEastAsia"/>
          <w:bCs/>
          <w:color w:val="auto"/>
          <w:highlight w:val="none"/>
        </w:rPr>
        <w:t>规定，在提交响应文件的截止时间前提交保证金。保证金有效期应当与响应文件有效期一致。</w:t>
      </w:r>
    </w:p>
    <w:p>
      <w:pPr>
        <w:adjustRightInd w:val="0"/>
        <w:snapToGrid w:val="0"/>
        <w:spacing w:line="40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11.2</w:t>
      </w:r>
      <w:r>
        <w:rPr>
          <w:rFonts w:hint="eastAsia" w:asciiTheme="minorEastAsia" w:hAnsiTheme="minorEastAsia" w:eastAsiaTheme="minorEastAsia" w:cstheme="minorEastAsia"/>
          <w:color w:val="auto"/>
          <w:kern w:val="0"/>
          <w:szCs w:val="21"/>
          <w:highlight w:val="none"/>
          <w:lang w:val="zh-CN"/>
        </w:rPr>
        <w:t>供应商为联合体的，可以由联合体中的一方或者共同交纳保证金，其交纳的保证金，对联合体各方均具有约束力。</w:t>
      </w:r>
    </w:p>
    <w:p>
      <w:pPr>
        <w:pStyle w:val="16"/>
        <w:tabs>
          <w:tab w:val="left" w:pos="6300"/>
        </w:tabs>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11.4保证金的退还按以下规定办理：</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（1）成交供应商的保证金，在采购合同签订后5个工作日内退还。</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（2）未成交供应商的保证金，在成交通知书发出后5个工作日内退还。</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（3）终止竞争性谈判采购活动的，在发布项目终止公告后5个工作日内退还。</w:t>
      </w:r>
    </w:p>
    <w:p>
      <w:pPr>
        <w:pStyle w:val="16"/>
        <w:adjustRightInd w:val="0"/>
        <w:snapToGrid w:val="0"/>
        <w:spacing w:line="400" w:lineRule="exact"/>
        <w:ind w:firstLine="420" w:firstLineChars="200"/>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11.5</w:t>
      </w:r>
      <w:r>
        <w:rPr>
          <w:rFonts w:hint="eastAsia" w:asciiTheme="minorEastAsia" w:hAnsiTheme="minorEastAsia" w:eastAsiaTheme="minorEastAsia" w:cstheme="minorEastAsia"/>
          <w:color w:val="auto"/>
          <w:kern w:val="0"/>
          <w:highlight w:val="none"/>
        </w:rPr>
        <w:t>有下列情形之一的，保证金不予退还：</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（3）除因不可抗力或谈判文件认可的情形以外，成交供应商不与采购人签订合同的； </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（4）供应商与采购人、其他供应商或者采购代理机构恶意串通的； </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（5）谈判文件规定的其他情形。</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12.响应文件有效期</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12.1响应文件</w:t>
      </w:r>
      <w:r>
        <w:rPr>
          <w:rFonts w:hint="eastAsia" w:asciiTheme="minorEastAsia" w:hAnsiTheme="minorEastAsia" w:eastAsiaTheme="minorEastAsia" w:cstheme="minorEastAsia"/>
          <w:color w:val="auto"/>
          <w:szCs w:val="21"/>
          <w:highlight w:val="none"/>
        </w:rPr>
        <w:t>有效期为90日历天，在此期间</w:t>
      </w:r>
      <w:r>
        <w:rPr>
          <w:rFonts w:hint="eastAsia" w:asciiTheme="minorEastAsia" w:hAnsiTheme="minorEastAsia" w:eastAsiaTheme="minorEastAsia" w:cstheme="minorEastAsia"/>
          <w:color w:val="auto"/>
          <w:highlight w:val="none"/>
        </w:rPr>
        <w:t>响应</w:t>
      </w:r>
      <w:r>
        <w:rPr>
          <w:rFonts w:hint="eastAsia" w:asciiTheme="minorEastAsia" w:hAnsiTheme="minorEastAsia" w:eastAsiaTheme="minorEastAsia" w:cstheme="minorEastAsia"/>
          <w:color w:val="auto"/>
          <w:szCs w:val="21"/>
          <w:highlight w:val="none"/>
        </w:rPr>
        <w:t>文件对供应商具有法律约束力，</w:t>
      </w:r>
      <w:r>
        <w:rPr>
          <w:rFonts w:hint="eastAsia" w:asciiTheme="minorEastAsia" w:hAnsiTheme="minorEastAsia" w:eastAsiaTheme="minorEastAsia" w:cstheme="minorEastAsia"/>
          <w:color w:val="auto"/>
          <w:highlight w:val="none"/>
        </w:rPr>
        <w:t>从</w:t>
      </w:r>
      <w:r>
        <w:rPr>
          <w:rFonts w:hint="eastAsia" w:asciiTheme="minorEastAsia" w:hAnsiTheme="minorEastAsia" w:eastAsiaTheme="minorEastAsia" w:cstheme="minorEastAsia"/>
          <w:color w:val="auto"/>
          <w:kern w:val="0"/>
          <w:szCs w:val="21"/>
          <w:highlight w:val="none"/>
        </w:rPr>
        <w:t>提交首次响应文件截止时间</w:t>
      </w:r>
      <w:r>
        <w:rPr>
          <w:rFonts w:hint="eastAsia" w:asciiTheme="minorEastAsia" w:hAnsiTheme="minorEastAsia" w:eastAsiaTheme="minorEastAsia" w:cstheme="minorEastAsia"/>
          <w:color w:val="auto"/>
          <w:highlight w:val="none"/>
        </w:rPr>
        <w:t>之日起计算。响应文件有效期不足的将被视为</w:t>
      </w:r>
      <w:r>
        <w:rPr>
          <w:rFonts w:hint="eastAsia" w:asciiTheme="minorEastAsia" w:hAnsiTheme="minorEastAsia" w:eastAsiaTheme="minorEastAsia" w:cstheme="minorEastAsia"/>
          <w:b/>
          <w:color w:val="auto"/>
          <w:highlight w:val="none"/>
        </w:rPr>
        <w:t>无效响应</w:t>
      </w:r>
      <w:r>
        <w:rPr>
          <w:rFonts w:hint="eastAsia" w:asciiTheme="minorEastAsia" w:hAnsiTheme="minorEastAsia" w:eastAsiaTheme="minorEastAsia" w:cstheme="minorEastAsia"/>
          <w:color w:val="auto"/>
          <w:highlight w:val="none"/>
        </w:rPr>
        <w:t>。</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13.分包</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13.1本项目不允许分包。</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13.2供应商</w:t>
      </w:r>
      <w:r>
        <w:rPr>
          <w:rFonts w:hint="eastAsia" w:asciiTheme="minorEastAsia" w:hAnsiTheme="minorEastAsia" w:eastAsiaTheme="minorEastAsia" w:cstheme="minorEastAsia"/>
          <w:color w:val="auto"/>
          <w:highlight w:val="none"/>
        </w:rPr>
        <w:t>拟在成交后将采购</w:t>
      </w:r>
      <w:r>
        <w:rPr>
          <w:rFonts w:hint="eastAsia" w:asciiTheme="minorEastAsia" w:hAnsiTheme="minorEastAsia" w:eastAsiaTheme="minorEastAsia" w:cstheme="minorEastAsia"/>
          <w:color w:val="auto"/>
          <w:szCs w:val="21"/>
          <w:highlight w:val="none"/>
        </w:rPr>
        <w:t>项目的非主体、非关键性工作进行分包的，应符合谈判文件规定的分包内容、分包金</w:t>
      </w:r>
      <w:r>
        <w:rPr>
          <w:rFonts w:hint="eastAsia" w:asciiTheme="minorEastAsia" w:hAnsiTheme="minorEastAsia" w:eastAsiaTheme="minorEastAsia" w:cstheme="minorEastAsia"/>
          <w:color w:val="auto"/>
          <w:highlight w:val="none"/>
        </w:rPr>
        <w:t>额和资质要求等限制性条件，并在响应文件中载明分包承担主体，且分包承担主体不得再次分包。</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应当就分包项目向采购人负责，分包承担主体就分包项目承担连带责任。</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13.4不符合谈判文件中有关分包规定的，其</w:t>
      </w:r>
      <w:r>
        <w:rPr>
          <w:rFonts w:hint="eastAsia" w:asciiTheme="minorEastAsia" w:hAnsiTheme="minorEastAsia" w:eastAsiaTheme="minorEastAsia" w:cstheme="minorEastAsia"/>
          <w:b/>
          <w:color w:val="auto"/>
          <w:highlight w:val="none"/>
        </w:rPr>
        <w:t>响应无效</w:t>
      </w:r>
      <w:r>
        <w:rPr>
          <w:rFonts w:hint="eastAsia" w:asciiTheme="minorEastAsia" w:hAnsiTheme="minorEastAsia" w:eastAsiaTheme="minorEastAsia" w:cstheme="minorEastAsia"/>
          <w:color w:val="auto"/>
          <w:highlight w:val="none"/>
        </w:rPr>
        <w:t>。</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14.响应文件的签署及规定</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14.2响应文件正本一份，副本二份；响应文件电子文档（U盘或光盘形式，电子文件应当为其响应文件正本签章后的彩色扫描件，格式为JPG或PDF，并标注供应商名称）二份</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w:t>
      </w:r>
      <w:r>
        <w:rPr>
          <w:rFonts w:hint="eastAsia" w:asciiTheme="minorEastAsia" w:hAnsiTheme="minorEastAsia" w:eastAsiaTheme="minorEastAsia" w:cstheme="minorEastAsia"/>
          <w:color w:val="auto"/>
          <w:highlight w:val="none"/>
        </w:rPr>
        <w:t>响应文件任何加行、涂改、增删等改动，改动之处应由供应商代表签字。否则，将导致</w:t>
      </w:r>
      <w:r>
        <w:rPr>
          <w:rFonts w:hint="eastAsia" w:asciiTheme="minorEastAsia" w:hAnsiTheme="minorEastAsia" w:eastAsiaTheme="minorEastAsia" w:cstheme="minorEastAsia"/>
          <w:b/>
          <w:color w:val="auto"/>
          <w:highlight w:val="none"/>
        </w:rPr>
        <w:t>响应文件无效。</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14.4在谈判过程中，供应商按谈判文件规定和谈判小组要求</w:t>
      </w:r>
      <w:r>
        <w:rPr>
          <w:rFonts w:hint="eastAsia" w:asciiTheme="minorEastAsia" w:hAnsiTheme="minorEastAsia" w:eastAsiaTheme="minorEastAsia" w:cstheme="minorEastAsia"/>
          <w:color w:val="auto"/>
          <w:kern w:val="0"/>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highlight w:val="none"/>
        </w:rPr>
        <w:t>重</w:t>
      </w:r>
      <w:r>
        <w:rPr>
          <w:rFonts w:hint="eastAsia" w:asciiTheme="minorEastAsia" w:hAnsiTheme="minorEastAsia" w:eastAsiaTheme="minorEastAsia" w:cstheme="minorEastAsia"/>
          <w:color w:val="auto"/>
          <w:kern w:val="0"/>
          <w:highlight w:val="none"/>
        </w:rPr>
        <w:t>新提交的响应文件和</w:t>
      </w:r>
      <w:r>
        <w:rPr>
          <w:rFonts w:hint="eastAsia" w:asciiTheme="minorEastAsia" w:hAnsiTheme="minorEastAsia" w:eastAsiaTheme="minorEastAsia" w:cstheme="minorEastAsia"/>
          <w:color w:val="auto"/>
          <w:highlight w:val="none"/>
        </w:rPr>
        <w:t>最后报价)，可打印或用不褪色材料书写，并经供应商代表签字，</w:t>
      </w:r>
      <w:r>
        <w:rPr>
          <w:rFonts w:hint="eastAsia" w:asciiTheme="minorEastAsia" w:hAnsiTheme="minorEastAsia" w:eastAsiaTheme="minorEastAsia" w:cstheme="minorEastAsia"/>
          <w:color w:val="auto"/>
          <w:kern w:val="0"/>
          <w:highlight w:val="none"/>
        </w:rPr>
        <w:t>或者加盖供应商单位公章</w:t>
      </w:r>
      <w:r>
        <w:rPr>
          <w:rFonts w:hint="eastAsia" w:asciiTheme="minorEastAsia" w:hAnsiTheme="minorEastAsia" w:eastAsiaTheme="minorEastAsia" w:cstheme="minorEastAsia"/>
          <w:color w:val="auto"/>
          <w:highlight w:val="none"/>
        </w:rPr>
        <w:t>。否则，将导致响应文件无效。</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28" w:name="_Toc22026"/>
      <w:bookmarkStart w:id="29" w:name="_Toc2575"/>
      <w:r>
        <w:rPr>
          <w:rFonts w:hint="eastAsia" w:asciiTheme="minorEastAsia" w:hAnsiTheme="minorEastAsia" w:eastAsiaTheme="minorEastAsia" w:cstheme="minorEastAsia"/>
          <w:color w:val="auto"/>
          <w:sz w:val="28"/>
          <w:szCs w:val="28"/>
          <w:highlight w:val="none"/>
        </w:rPr>
        <w:t>（四）响应文件的递交</w:t>
      </w:r>
      <w:bookmarkEnd w:id="28"/>
      <w:bookmarkEnd w:id="29"/>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15.响应文件的密封和标记</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15.1响应文件应密封包装，以保证其响应文件信息在提交首次响应文件截止时间前不被透露。</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15.2响应文件封套上应写明的内容：</w:t>
      </w:r>
    </w:p>
    <w:p>
      <w:pPr>
        <w:pStyle w:val="2"/>
        <w:spacing w:line="400" w:lineRule="exact"/>
        <w:ind w:firstLine="210"/>
        <w:rPr>
          <w:rFonts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 w:val="21"/>
          <w:highlight w:val="none"/>
        </w:rPr>
        <w:pict>
          <v:shape id="_x0000_s2051" o:spid="_x0000_s2051" o:spt="202" type="#_x0000_t202" style="position:absolute;left:0pt;margin-left:43.5pt;margin-top:1.7pt;height:97.15pt;width:264.7pt;z-index:251660288;mso-width-relative:page;mso-height-relative:page;" fillcolor="#FFFFFF" filled="t" stroked="t" coordsize="21600,21600">
            <v:path/>
            <v:fill on="t" color2="#FFFFFF"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sz w:val="22"/>
                      <w:szCs w:val="22"/>
                    </w:rPr>
                  </w:pPr>
                  <w:r>
                    <w:rPr>
                      <w:rFonts w:ascii="宋体" w:hAnsi="宋体" w:cs="宋体"/>
                      <w:sz w:val="22"/>
                      <w:szCs w:val="22"/>
                      <w:u w:val="single"/>
                    </w:rPr>
                    <w:t xml:space="preserve">                  (</w:t>
                  </w:r>
                  <w:r>
                    <w:rPr>
                      <w:rFonts w:hint="eastAsia" w:ascii="宋体" w:hAnsi="宋体" w:cs="宋体"/>
                      <w:sz w:val="22"/>
                      <w:szCs w:val="22"/>
                    </w:rPr>
                    <w:t>项目名称</w:t>
                  </w:r>
                  <w:r>
                    <w:rPr>
                      <w:rFonts w:ascii="宋体" w:hAnsi="宋体" w:cs="宋体"/>
                      <w:sz w:val="22"/>
                      <w:szCs w:val="22"/>
                    </w:rPr>
                    <w:t xml:space="preserve">) </w:t>
                  </w:r>
                  <w:r>
                    <w:rPr>
                      <w:rFonts w:hint="eastAsia" w:ascii="宋体" w:hAnsi="宋体" w:cs="宋体"/>
                      <w:sz w:val="22"/>
                      <w:szCs w:val="22"/>
                    </w:rPr>
                    <w:t>响应文件</w:t>
                  </w:r>
                </w:p>
                <w:p>
                  <w:pPr>
                    <w:pStyle w:val="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Ansi="宋体"/>
                      <w:sz w:val="22"/>
                      <w:szCs w:val="22"/>
                    </w:rPr>
                  </w:pPr>
                  <w:r>
                    <w:rPr>
                      <w:rFonts w:hint="eastAsia" w:hAnsi="宋体"/>
                      <w:sz w:val="22"/>
                      <w:szCs w:val="22"/>
                    </w:rPr>
                    <w:t xml:space="preserve">项目编号:  </w:t>
                  </w:r>
                </w:p>
                <w:p>
                  <w:pPr>
                    <w:pStyle w:val="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Ansi="宋体"/>
                      <w:sz w:val="22"/>
                      <w:szCs w:val="22"/>
                    </w:rPr>
                  </w:pPr>
                  <w:r>
                    <w:rPr>
                      <w:rFonts w:hint="eastAsia" w:hAnsi="宋体"/>
                      <w:sz w:val="22"/>
                      <w:szCs w:val="22"/>
                    </w:rPr>
                    <w:t xml:space="preserve">供应商名称：  </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 w:val="22"/>
                      <w:szCs w:val="22"/>
                    </w:rPr>
                  </w:pPr>
                  <w:r>
                    <w:rPr>
                      <w:rFonts w:hint="eastAsia" w:ascii="宋体" w:hAnsi="宋体" w:cs="宋体"/>
                      <w:sz w:val="22"/>
                      <w:szCs w:val="22"/>
                    </w:rPr>
                    <w:t>在</w:t>
                  </w:r>
                  <w:r>
                    <w:rPr>
                      <w:rFonts w:ascii="宋体" w:hAnsi="宋体" w:cs="宋体"/>
                      <w:sz w:val="22"/>
                      <w:szCs w:val="22"/>
                      <w:u w:val="single"/>
                    </w:rPr>
                    <w:t xml:space="preserve">   </w:t>
                  </w:r>
                  <w:r>
                    <w:rPr>
                      <w:rFonts w:hint="eastAsia" w:ascii="宋体" w:hAnsi="宋体" w:cs="宋体"/>
                      <w:sz w:val="22"/>
                      <w:szCs w:val="22"/>
                    </w:rPr>
                    <w:t>年</w:t>
                  </w:r>
                  <w:r>
                    <w:rPr>
                      <w:rFonts w:ascii="宋体" w:hAnsi="宋体" w:cs="宋体"/>
                      <w:sz w:val="22"/>
                      <w:szCs w:val="22"/>
                      <w:u w:val="single"/>
                    </w:rPr>
                    <w:t xml:space="preserve">   </w:t>
                  </w:r>
                  <w:r>
                    <w:rPr>
                      <w:rFonts w:hint="eastAsia" w:ascii="宋体" w:hAnsi="宋体" w:cs="宋体"/>
                      <w:sz w:val="22"/>
                      <w:szCs w:val="22"/>
                    </w:rPr>
                    <w:t>月</w:t>
                  </w:r>
                  <w:r>
                    <w:rPr>
                      <w:rFonts w:ascii="宋体" w:hAnsi="宋体" w:cs="宋体"/>
                      <w:sz w:val="22"/>
                      <w:szCs w:val="22"/>
                      <w:u w:val="single"/>
                    </w:rPr>
                    <w:t xml:space="preserve">  </w:t>
                  </w:r>
                  <w:r>
                    <w:rPr>
                      <w:rFonts w:hint="eastAsia" w:ascii="宋体" w:hAnsi="宋体" w:cs="宋体"/>
                      <w:sz w:val="22"/>
                      <w:szCs w:val="22"/>
                    </w:rPr>
                    <w:t>日</w:t>
                  </w:r>
                  <w:r>
                    <w:rPr>
                      <w:rFonts w:ascii="宋体" w:hAnsi="宋体" w:cs="宋体"/>
                      <w:sz w:val="22"/>
                      <w:szCs w:val="22"/>
                      <w:u w:val="single"/>
                    </w:rPr>
                    <w:t xml:space="preserve">  </w:t>
                  </w:r>
                  <w:r>
                    <w:rPr>
                      <w:rFonts w:hint="eastAsia" w:ascii="宋体" w:hAnsi="宋体" w:cs="宋体"/>
                      <w:sz w:val="22"/>
                      <w:szCs w:val="22"/>
                    </w:rPr>
                    <w:t>时</w:t>
                  </w:r>
                  <w:r>
                    <w:rPr>
                      <w:rFonts w:ascii="宋体" w:hAnsi="宋体" w:cs="宋体"/>
                      <w:sz w:val="22"/>
                      <w:szCs w:val="22"/>
                      <w:u w:val="single"/>
                    </w:rPr>
                    <w:t xml:space="preserve">  </w:t>
                  </w:r>
                  <w:r>
                    <w:rPr>
                      <w:rFonts w:hint="eastAsia" w:ascii="宋体" w:hAnsi="宋体" w:cs="宋体"/>
                      <w:sz w:val="22"/>
                      <w:szCs w:val="22"/>
                    </w:rPr>
                    <w:t>分之前不得启封</w:t>
                  </w:r>
                </w:p>
              </w:txbxContent>
            </v:textbox>
          </v:shape>
        </w:pict>
      </w:r>
    </w:p>
    <w:p>
      <w:pPr>
        <w:pStyle w:val="2"/>
        <w:spacing w:line="400" w:lineRule="exact"/>
        <w:ind w:firstLine="200"/>
        <w:rPr>
          <w:rFonts w:asciiTheme="minorEastAsia" w:hAnsiTheme="minorEastAsia" w:eastAsiaTheme="minorEastAsia" w:cstheme="minorEastAsia"/>
          <w:color w:val="auto"/>
          <w:szCs w:val="21"/>
          <w:highlight w:val="none"/>
        </w:rPr>
      </w:pPr>
    </w:p>
    <w:p>
      <w:pPr>
        <w:pStyle w:val="2"/>
        <w:spacing w:line="400" w:lineRule="exact"/>
        <w:ind w:firstLine="200"/>
        <w:rPr>
          <w:rFonts w:asciiTheme="minorEastAsia" w:hAnsiTheme="minorEastAsia" w:eastAsiaTheme="minorEastAsia" w:cstheme="minorEastAsia"/>
          <w:color w:val="auto"/>
          <w:szCs w:val="21"/>
          <w:highlight w:val="none"/>
        </w:rPr>
      </w:pP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15.3响应文件如果未按本章第</w:t>
      </w:r>
      <w:r>
        <w:rPr>
          <w:rFonts w:hint="eastAsia" w:asciiTheme="minorEastAsia" w:hAnsiTheme="minorEastAsia" w:eastAsiaTheme="minorEastAsia" w:cstheme="minorEastAsia"/>
          <w:color w:val="auto"/>
          <w:highlight w:val="none"/>
        </w:rPr>
        <w:t>15.1款</w:t>
      </w:r>
      <w:r>
        <w:rPr>
          <w:rFonts w:hint="eastAsia" w:asciiTheme="minorEastAsia" w:hAnsiTheme="minorEastAsia" w:eastAsiaTheme="minorEastAsia" w:cstheme="minorEastAsia"/>
          <w:color w:val="auto"/>
          <w:szCs w:val="21"/>
          <w:highlight w:val="none"/>
        </w:rPr>
        <w:t>规定密封，采购人、采购代理机构将拒绝接收。</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16.响应文件的</w:t>
      </w:r>
      <w:r>
        <w:rPr>
          <w:rFonts w:hint="eastAsia" w:asciiTheme="minorEastAsia" w:hAnsiTheme="minorEastAsia" w:eastAsiaTheme="minorEastAsia" w:cstheme="minorEastAsia"/>
          <w:color w:val="auto"/>
          <w:sz w:val="24"/>
          <w:szCs w:val="24"/>
          <w:highlight w:val="none"/>
          <w:lang w:val="zh-CN"/>
        </w:rPr>
        <w:t>补充、修改或者撤回</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kern w:val="0"/>
          <w:highlight w:val="none"/>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cstheme="minorEastAsia"/>
          <w:color w:val="auto"/>
          <w:highlight w:val="none"/>
        </w:rPr>
        <w:t>该通知应有供应商代表签字。</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kern w:val="0"/>
          <w:highlight w:val="none"/>
          <w:lang w:val="zh-CN"/>
        </w:rPr>
        <w:t>补充、修改的内容与响应文件不一致时，以补充、修改的内容为准。</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17.响应文件的递交与接收</w:t>
      </w:r>
    </w:p>
    <w:p>
      <w:pPr>
        <w:adjustRightInd w:val="0"/>
        <w:snapToGrid w:val="0"/>
        <w:spacing w:line="400" w:lineRule="exact"/>
        <w:ind w:firstLine="420" w:firstLineChars="200"/>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17.1供应商应在</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谈判邀请</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color w:val="auto"/>
          <w:highlight w:val="none"/>
        </w:rPr>
        <w:t>规定的</w:t>
      </w:r>
      <w:r>
        <w:rPr>
          <w:rFonts w:hint="eastAsia" w:asciiTheme="minorEastAsia" w:hAnsiTheme="minorEastAsia" w:eastAsiaTheme="minorEastAsia" w:cstheme="minorEastAsia"/>
          <w:color w:val="auto"/>
          <w:kern w:val="0"/>
          <w:szCs w:val="21"/>
          <w:highlight w:val="none"/>
        </w:rPr>
        <w:t>时间和</w:t>
      </w:r>
      <w:r>
        <w:rPr>
          <w:rFonts w:hint="eastAsia" w:asciiTheme="minorEastAsia" w:hAnsiTheme="minorEastAsia" w:eastAsiaTheme="minorEastAsia" w:cstheme="minorEastAsia"/>
          <w:color w:val="auto"/>
          <w:szCs w:val="21"/>
          <w:highlight w:val="none"/>
        </w:rPr>
        <w:t>地点提交响应文件。</w:t>
      </w:r>
      <w:r>
        <w:rPr>
          <w:rFonts w:hint="eastAsia" w:asciiTheme="minorEastAsia" w:hAnsiTheme="minorEastAsia" w:eastAsiaTheme="minorEastAsia" w:cstheme="minorEastAsia"/>
          <w:color w:val="auto"/>
          <w:kern w:val="0"/>
          <w:highlight w:val="none"/>
        </w:rPr>
        <w:t>采购人、采购代理机构或者谈判小组拒收逾期送达的响应文件。</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（1）项目名称、项目编号；</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（2）供应商名称；</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（3）响应文件送达时间、地址；</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（4）响应文件密封情况；</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（5）采购人、采购代理机构名称；</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（6）采购人、采购代理机构接收人签字。</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17.3采购人、</w:t>
      </w:r>
      <w:r>
        <w:rPr>
          <w:rFonts w:hint="eastAsia" w:asciiTheme="minorEastAsia" w:hAnsiTheme="minorEastAsia" w:eastAsiaTheme="minorEastAsia" w:cstheme="minorEastAsia"/>
          <w:bCs/>
          <w:color w:val="auto"/>
          <w:highlight w:val="none"/>
        </w:rPr>
        <w:t>采购代理机构</w:t>
      </w:r>
      <w:r>
        <w:rPr>
          <w:rFonts w:hint="eastAsia" w:asciiTheme="minorEastAsia" w:hAnsiTheme="minorEastAsia" w:eastAsiaTheme="minorEastAsia" w:cstheme="minorEastAsia"/>
          <w:color w:val="auto"/>
          <w:highlight w:val="none"/>
        </w:rPr>
        <w:t>在按本章第25.3款规定公布供应商的最后报价前，不公开供应商的技术资料、价格和其他信息。</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30" w:name="_Toc10036"/>
      <w:bookmarkStart w:id="31" w:name="_Toc5320"/>
      <w:r>
        <w:rPr>
          <w:rFonts w:hint="eastAsia" w:asciiTheme="minorEastAsia" w:hAnsiTheme="minorEastAsia" w:eastAsiaTheme="minorEastAsia" w:cstheme="minorEastAsia"/>
          <w:color w:val="auto"/>
          <w:sz w:val="28"/>
          <w:szCs w:val="28"/>
          <w:highlight w:val="none"/>
        </w:rPr>
        <w:t>（五）响应文件的评审与谈判</w:t>
      </w:r>
      <w:bookmarkEnd w:id="30"/>
      <w:bookmarkEnd w:id="31"/>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18.谈判小组</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18.1谈判小组由采购人代表和评审专家组成。</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18.2谈判小组</w:t>
      </w:r>
      <w:r>
        <w:rPr>
          <w:rFonts w:hint="eastAsia" w:asciiTheme="minorEastAsia" w:hAnsiTheme="minorEastAsia" w:eastAsiaTheme="minorEastAsia" w:cstheme="minorEastAsia"/>
          <w:color w:val="auto"/>
          <w:szCs w:val="21"/>
          <w:highlight w:val="none"/>
        </w:rPr>
        <w:t>成员有下列情形之一的，应当回避：</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 3 年内与供应商存在劳动关系；</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 3 年内担任供应商的董事、监事；</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 3 年内是供应商的控股股东或者实际控制人；</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（4）与供应商的法定代表人或者负责人有夫妻、直系血亲、三代以内旁系血亲或者近姻亲关系；</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（5）与供应商有其他可能影响采购活动公平、公正进行的关系。</w:t>
      </w:r>
    </w:p>
    <w:p>
      <w:pPr>
        <w:adjustRightInd w:val="0"/>
        <w:snapToGrid w:val="0"/>
        <w:spacing w:line="400" w:lineRule="exact"/>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18.3谈判小组成员应当按照客观、公正、审慎的原则，根据谈判文件规定的评审程序、评审方法和评审标准进行独立评审。</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19.供应商资格审查</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19.1谈判小组将根据【</w:t>
      </w:r>
      <w:r>
        <w:rPr>
          <w:rFonts w:hint="eastAsia" w:asciiTheme="minorEastAsia" w:hAnsiTheme="minorEastAsia" w:eastAsiaTheme="minorEastAsia" w:cstheme="minorEastAsia"/>
          <w:b/>
          <w:color w:val="auto"/>
          <w:kern w:val="0"/>
          <w:szCs w:val="21"/>
          <w:highlight w:val="none"/>
        </w:rPr>
        <w:t>谈判邀请</w:t>
      </w:r>
      <w:r>
        <w:rPr>
          <w:rFonts w:hint="eastAsia" w:asciiTheme="minorEastAsia" w:hAnsiTheme="minorEastAsia" w:eastAsiaTheme="minorEastAsia" w:cstheme="minorEastAsia"/>
          <w:color w:val="auto"/>
          <w:kern w:val="0"/>
          <w:szCs w:val="21"/>
          <w:highlight w:val="none"/>
        </w:rPr>
        <w:t>】规定的供应商资格条件要求，对供应商进行资格性审查。</w:t>
      </w:r>
      <w:r>
        <w:rPr>
          <w:rFonts w:hint="eastAsia" w:asciiTheme="minorEastAsia" w:hAnsiTheme="minorEastAsia" w:eastAsiaTheme="minorEastAsia" w:cstheme="minorEastAsia"/>
          <w:color w:val="auto"/>
          <w:szCs w:val="21"/>
          <w:highlight w:val="none"/>
        </w:rPr>
        <w:t>不满足资格条件的，视为无效响应。</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19.2供应商</w:t>
      </w:r>
      <w:r>
        <w:rPr>
          <w:rFonts w:hint="eastAsia" w:asciiTheme="minorEastAsia" w:hAnsiTheme="minorEastAsia" w:eastAsiaTheme="minorEastAsia" w:cstheme="minorEastAsia"/>
          <w:color w:val="auto"/>
          <w:kern w:val="0"/>
          <w:szCs w:val="21"/>
          <w:highlight w:val="none"/>
          <w:lang w:val="zh-CN"/>
        </w:rPr>
        <w:t>为联合体的，</w:t>
      </w:r>
      <w:r>
        <w:rPr>
          <w:rFonts w:hint="eastAsia" w:asciiTheme="minorEastAsia" w:hAnsiTheme="minorEastAsia" w:eastAsiaTheme="minorEastAsia" w:cstheme="minorEastAsia"/>
          <w:color w:val="auto"/>
          <w:szCs w:val="21"/>
          <w:highlight w:val="none"/>
        </w:rPr>
        <w:t>谈判</w:t>
      </w:r>
      <w:r>
        <w:rPr>
          <w:rFonts w:hint="eastAsia" w:asciiTheme="minorEastAsia" w:hAnsiTheme="minorEastAsia" w:eastAsiaTheme="minorEastAsia" w:cstheme="minorEastAsia"/>
          <w:bCs/>
          <w:color w:val="auto"/>
          <w:szCs w:val="21"/>
          <w:highlight w:val="none"/>
        </w:rPr>
        <w:t>小组将</w:t>
      </w:r>
      <w:r>
        <w:rPr>
          <w:rFonts w:hint="eastAsia" w:asciiTheme="minorEastAsia" w:hAnsiTheme="minorEastAsia" w:eastAsiaTheme="minorEastAsia" w:cstheme="minorEastAsia"/>
          <w:color w:val="auto"/>
          <w:szCs w:val="21"/>
          <w:highlight w:val="none"/>
        </w:rPr>
        <w:t>根据</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b/>
          <w:color w:val="auto"/>
          <w:kern w:val="0"/>
          <w:szCs w:val="21"/>
          <w:highlight w:val="none"/>
        </w:rPr>
        <w:t>谈判邀请</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的规定对</w:t>
      </w:r>
      <w:r>
        <w:rPr>
          <w:rFonts w:hint="eastAsia" w:asciiTheme="minorEastAsia" w:hAnsiTheme="minorEastAsia" w:eastAsiaTheme="minorEastAsia" w:cstheme="minorEastAsia"/>
          <w:color w:val="auto"/>
          <w:highlight w:val="none"/>
        </w:rPr>
        <w:t>联合体各方资格文件、联合体协议</w:t>
      </w:r>
      <w:r>
        <w:rPr>
          <w:rFonts w:hint="eastAsia" w:asciiTheme="minorEastAsia" w:hAnsiTheme="minorEastAsia" w:eastAsiaTheme="minorEastAsia" w:cstheme="minorEastAsia"/>
          <w:color w:val="auto"/>
          <w:szCs w:val="21"/>
          <w:highlight w:val="none"/>
        </w:rPr>
        <w:t>进行审查</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Cs w:val="21"/>
          <w:highlight w:val="none"/>
        </w:rPr>
        <w:t>不满足资格条件的，视为无效响应。</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20谈判程序</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20.1</w:t>
      </w:r>
      <w:r>
        <w:rPr>
          <w:rFonts w:hint="eastAsia" w:asciiTheme="minorEastAsia" w:hAnsiTheme="minorEastAsia" w:eastAsiaTheme="minorEastAsia" w:cstheme="minorEastAsia"/>
          <w:bCs/>
          <w:color w:val="auto"/>
          <w:szCs w:val="21"/>
          <w:highlight w:val="none"/>
        </w:rPr>
        <w:t>谈判程序：谈判（响应文件审查、澄清）、最后报价、提出成交供应商。其中，谈判按本章第23条进行。</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20.2谈判小组应当对响应文件进行评审，并根据谈判文件规定的程序、评定成交的标准等事项与实质性响应谈判文件要求的供应商进行谈判。</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20.3在谈判过程中谈判的任何一方不得向他人透露与谈判有关的技术资料、价格或其他信息。</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21.响应文件审查</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21.2谈判小组对响应文件(包括首次提交的响应文件、重新提交的响应文件)的有效性、完整性和对谈判文件的响应程度进行审查。</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21.3响应文件有下列情况之一，响应文件按无效处理，谈判小组应当告知有关供应商。</w:t>
      </w:r>
    </w:p>
    <w:p>
      <w:pPr>
        <w:adjustRightInd w:val="0"/>
        <w:snapToGrid w:val="0"/>
        <w:spacing w:line="400" w:lineRule="exact"/>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应交未交保证金或金额不足、保证金形式不符合谈判文件要求的；</w:t>
      </w:r>
    </w:p>
    <w:p>
      <w:pPr>
        <w:tabs>
          <w:tab w:val="left" w:pos="735"/>
          <w:tab w:val="left" w:pos="7560"/>
          <w:tab w:val="left" w:pos="7740"/>
          <w:tab w:val="left" w:pos="7920"/>
        </w:tabs>
        <w:adjustRightInd w:val="0"/>
        <w:snapToGrid w:val="0"/>
        <w:spacing w:line="400" w:lineRule="exact"/>
        <w:ind w:right="300" w:rightChars="143"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未按照谈判文件规定要求签署、盖章的；</w:t>
      </w:r>
    </w:p>
    <w:p>
      <w:pPr>
        <w:tabs>
          <w:tab w:val="left" w:pos="735"/>
          <w:tab w:val="left" w:pos="7560"/>
          <w:tab w:val="left" w:pos="7740"/>
          <w:tab w:val="left" w:pos="7920"/>
        </w:tabs>
        <w:adjustRightInd w:val="0"/>
        <w:snapToGrid w:val="0"/>
        <w:spacing w:line="400" w:lineRule="exact"/>
        <w:ind w:right="300" w:rightChars="143"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（3）不满足谈判文件规定的实质性要求和条件的；</w:t>
      </w:r>
    </w:p>
    <w:p>
      <w:pPr>
        <w:tabs>
          <w:tab w:val="left" w:pos="735"/>
          <w:tab w:val="left" w:pos="7560"/>
          <w:tab w:val="left" w:pos="7740"/>
          <w:tab w:val="left" w:pos="7920"/>
        </w:tabs>
        <w:adjustRightInd w:val="0"/>
        <w:snapToGrid w:val="0"/>
        <w:spacing w:line="400" w:lineRule="exact"/>
        <w:ind w:right="300" w:rightChars="143"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（4）法律、法规和谈判文件规定的其他响应无效情形。</w:t>
      </w:r>
    </w:p>
    <w:p>
      <w:pPr>
        <w:tabs>
          <w:tab w:val="left" w:pos="735"/>
          <w:tab w:val="left" w:pos="7560"/>
          <w:tab w:val="left" w:pos="7740"/>
          <w:tab w:val="left" w:pos="7920"/>
        </w:tabs>
        <w:adjustRightInd w:val="0"/>
        <w:snapToGrid w:val="0"/>
        <w:spacing w:line="400" w:lineRule="exact"/>
        <w:ind w:right="300" w:rightChars="143"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21.3响应文件按无效处理的，谈判小组应拒绝其参与谈判，但属于谈判文件规定的实质性变动内容的除外。</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21.4谈判文件规定的实质性要求和条件：商务条款、技术条款及合同内容在谈判过程中可能实质性变动。谈判文件的实质性变动内容为谈判文件的组成部分，实质性变动内容与谈判文件不一致时，以实质性变动内容为准。</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21.5实质性响应是指响应文件(包括首次响应文件、重新提交的响应文件)与谈判文件要求的所有条款、条件和规格相符，没有偏离。偏离指不满足、或不响应谈判文件的要求。</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22.澄清</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22.1谈判小组在对响应文件(包括</w:t>
      </w:r>
      <w:r>
        <w:rPr>
          <w:rFonts w:hint="eastAsia" w:asciiTheme="minorEastAsia" w:hAnsiTheme="minorEastAsia" w:eastAsiaTheme="minorEastAsia" w:cstheme="minorEastAsia"/>
          <w:color w:val="auto"/>
          <w:kern w:val="0"/>
          <w:highlight w:val="none"/>
        </w:rPr>
        <w:t>首次提交的</w:t>
      </w:r>
      <w:r>
        <w:rPr>
          <w:rFonts w:hint="eastAsia" w:asciiTheme="minorEastAsia" w:hAnsiTheme="minorEastAsia" w:eastAsiaTheme="minorEastAsia" w:cstheme="minorEastAsia"/>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23.谈判的规定</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23.1</w:t>
      </w:r>
      <w:r>
        <w:rPr>
          <w:rFonts w:hint="eastAsia" w:asciiTheme="minorEastAsia" w:hAnsiTheme="minorEastAsia" w:eastAsiaTheme="minorEastAsia" w:cstheme="minorEastAsia"/>
          <w:color w:val="auto"/>
          <w:kern w:val="0"/>
          <w:szCs w:val="21"/>
          <w:highlight w:val="none"/>
        </w:rPr>
        <w:t>在谈判过程中，谈判小组所有成员集中与单一供应商分别进行谈判，并给予所有参加谈判的供应商平等的谈判机会。供应商应派其代表参加谈判。</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23.2</w:t>
      </w:r>
      <w:r>
        <w:rPr>
          <w:rFonts w:hint="eastAsia" w:asciiTheme="minorEastAsia" w:hAnsiTheme="minorEastAsia" w:eastAsiaTheme="minorEastAsia" w:cstheme="minorEastAsia"/>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pPr>
        <w:pStyle w:val="7"/>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24.退出谈判</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24.1供应商在提交最后报价之前，可以根据谈判情况退出谈判，</w:t>
      </w:r>
      <w:r>
        <w:rPr>
          <w:rFonts w:hint="eastAsia" w:asciiTheme="minorEastAsia" w:hAnsiTheme="minorEastAsia" w:eastAsiaTheme="minorEastAsia" w:cstheme="minorEastAsia"/>
          <w:color w:val="auto"/>
          <w:kern w:val="0"/>
          <w:highlight w:val="none"/>
        </w:rPr>
        <w:t>并书面通知采购人、采购代理机构或者谈判小组。</w:t>
      </w:r>
      <w:r>
        <w:rPr>
          <w:rFonts w:hint="eastAsia" w:asciiTheme="minorEastAsia" w:hAnsiTheme="minorEastAsia" w:eastAsiaTheme="minorEastAsia" w:cstheme="minorEastAsia"/>
          <w:color w:val="auto"/>
          <w:highlight w:val="none"/>
        </w:rPr>
        <w:t>该通知由供应商代表签字。采购人、</w:t>
      </w:r>
      <w:r>
        <w:rPr>
          <w:rFonts w:hint="eastAsia" w:asciiTheme="minorEastAsia" w:hAnsiTheme="minorEastAsia" w:eastAsiaTheme="minorEastAsia" w:cstheme="minorEastAsia"/>
          <w:color w:val="auto"/>
          <w:kern w:val="0"/>
          <w:szCs w:val="21"/>
          <w:highlight w:val="none"/>
        </w:rPr>
        <w:t>采购代理机构</w:t>
      </w:r>
      <w:r>
        <w:rPr>
          <w:rFonts w:hint="eastAsia" w:asciiTheme="minorEastAsia" w:hAnsiTheme="minorEastAsia" w:eastAsiaTheme="minorEastAsia" w:cstheme="minorEastAsia"/>
          <w:color w:val="auto"/>
          <w:kern w:val="0"/>
          <w:highlight w:val="none"/>
        </w:rPr>
        <w:t>按</w:t>
      </w:r>
      <w:r>
        <w:rPr>
          <w:rFonts w:hint="eastAsia" w:asciiTheme="minorEastAsia" w:hAnsiTheme="minorEastAsia" w:eastAsiaTheme="minorEastAsia" w:cstheme="minorEastAsia"/>
          <w:color w:val="auto"/>
          <w:kern w:val="0"/>
          <w:szCs w:val="21"/>
          <w:highlight w:val="none"/>
        </w:rPr>
        <w:t>本章第</w:t>
      </w:r>
      <w:r>
        <w:rPr>
          <w:rFonts w:hint="eastAsia" w:asciiTheme="minorEastAsia" w:hAnsiTheme="minorEastAsia" w:eastAsiaTheme="minorEastAsia" w:cstheme="minorEastAsia"/>
          <w:color w:val="auto"/>
          <w:highlight w:val="none"/>
        </w:rPr>
        <w:t>11.4</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highlight w:val="none"/>
        </w:rPr>
        <w:t>规定</w:t>
      </w:r>
      <w:r>
        <w:rPr>
          <w:rFonts w:hint="eastAsia" w:asciiTheme="minorEastAsia" w:hAnsiTheme="minorEastAsia" w:eastAsiaTheme="minorEastAsia" w:cstheme="minorEastAsia"/>
          <w:color w:val="auto"/>
          <w:kern w:val="0"/>
          <w:szCs w:val="21"/>
          <w:highlight w:val="none"/>
        </w:rPr>
        <w:t>退还退出谈判的供应商的保证金。</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24.2供应商参与谈判，但未提交最后报价又未按前款规定退出谈判的，保证金不予退还。</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25.最后报价</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pPr>
        <w:adjustRightInd w:val="0"/>
        <w:snapToGrid w:val="0"/>
        <w:spacing w:line="40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（1）谈判文件能够详细列明采购需求的技术、服务要求的，谈判结束后，谈判小组应当要求所有供应商在规定时间内提交最后报价。</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（1）谈判文件未明确可能实质性变动的；</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pPr>
        <w:widowControl/>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25.3谈判小组应召集所有提交最后报价的供应商，逐一</w:t>
      </w:r>
      <w:r>
        <w:rPr>
          <w:rFonts w:hint="eastAsia" w:asciiTheme="minorEastAsia" w:hAnsiTheme="minorEastAsia" w:eastAsiaTheme="minorEastAsia" w:cstheme="minorEastAsia"/>
          <w:bCs/>
          <w:color w:val="auto"/>
          <w:szCs w:val="21"/>
          <w:highlight w:val="none"/>
        </w:rPr>
        <w:t>公布</w:t>
      </w:r>
      <w:r>
        <w:rPr>
          <w:rFonts w:hint="eastAsia" w:asciiTheme="minorEastAsia" w:hAnsiTheme="minorEastAsia" w:eastAsiaTheme="minorEastAsia" w:cstheme="minorEastAsia"/>
          <w:color w:val="auto"/>
          <w:kern w:val="0"/>
          <w:szCs w:val="21"/>
          <w:highlight w:val="none"/>
          <w:lang w:val="zh-CN"/>
        </w:rPr>
        <w:t>供应商的</w:t>
      </w:r>
      <w:r>
        <w:rPr>
          <w:rFonts w:hint="eastAsia" w:asciiTheme="minorEastAsia" w:hAnsiTheme="minorEastAsia" w:eastAsiaTheme="minorEastAsia" w:cstheme="minorEastAsia"/>
          <w:bCs/>
          <w:color w:val="auto"/>
          <w:szCs w:val="21"/>
          <w:highlight w:val="none"/>
        </w:rPr>
        <w:t>最</w:t>
      </w:r>
      <w:r>
        <w:rPr>
          <w:rFonts w:hint="eastAsia" w:asciiTheme="minorEastAsia" w:hAnsiTheme="minorEastAsia" w:eastAsiaTheme="minorEastAsia" w:cstheme="minorEastAsia"/>
          <w:color w:val="auto"/>
          <w:kern w:val="0"/>
          <w:szCs w:val="21"/>
          <w:highlight w:val="none"/>
          <w:lang w:val="zh-CN"/>
        </w:rPr>
        <w:t>后</w:t>
      </w:r>
      <w:r>
        <w:rPr>
          <w:rFonts w:hint="eastAsia" w:asciiTheme="minorEastAsia" w:hAnsiTheme="minorEastAsia" w:eastAsiaTheme="minorEastAsia" w:cstheme="minorEastAsia"/>
          <w:bCs/>
          <w:color w:val="auto"/>
          <w:szCs w:val="21"/>
          <w:highlight w:val="none"/>
        </w:rPr>
        <w:t>报价</w:t>
      </w:r>
      <w:r>
        <w:rPr>
          <w:rFonts w:hint="eastAsia" w:asciiTheme="minorEastAsia" w:hAnsiTheme="minorEastAsia" w:eastAsiaTheme="minorEastAsia" w:cstheme="minorEastAsia"/>
          <w:color w:val="auto"/>
          <w:kern w:val="0"/>
          <w:szCs w:val="21"/>
          <w:highlight w:val="none"/>
        </w:rPr>
        <w:t>，由采购人、采购代理机构负责记录，并由供应商代表签字确认后随采购文件一并存档。</w:t>
      </w:r>
    </w:p>
    <w:p>
      <w:pPr>
        <w:pStyle w:val="7"/>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26.不合理报价</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27.提出成交供应商</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27.1谈判小组应当从质量和服务均能满足采购文件实质性响应要求的供应商中，按照最后报价由低到高的顺序提出3名以上成交候选人，并编写评审报告。</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供应商最后报价涉及算术修正的，按上款规定由低到高的顺序排序。</w:t>
      </w:r>
      <w:r>
        <w:rPr>
          <w:rFonts w:hint="eastAsia" w:asciiTheme="minorEastAsia" w:hAnsiTheme="minorEastAsia" w:eastAsiaTheme="minorEastAsia" w:cstheme="minorEastAsia"/>
          <w:color w:val="auto"/>
          <w:szCs w:val="21"/>
          <w:highlight w:val="none"/>
        </w:rPr>
        <w:t>最后报价排序相同的并列</w:t>
      </w:r>
      <w:r>
        <w:rPr>
          <w:rFonts w:hint="eastAsia" w:asciiTheme="minorEastAsia" w:hAnsiTheme="minorEastAsia" w:eastAsiaTheme="minorEastAsia" w:cstheme="minorEastAsia"/>
          <w:bCs/>
          <w:color w:val="auto"/>
          <w:szCs w:val="21"/>
          <w:highlight w:val="none"/>
        </w:rPr>
        <w:t>。</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27.2</w:t>
      </w:r>
      <w:r>
        <w:rPr>
          <w:rFonts w:hint="eastAsia" w:asciiTheme="minorEastAsia" w:hAnsiTheme="minorEastAsia" w:eastAsiaTheme="minorEastAsia" w:cstheme="minorEastAsia"/>
          <w:color w:val="auto"/>
          <w:kern w:val="0"/>
          <w:szCs w:val="21"/>
          <w:highlight w:val="none"/>
        </w:rPr>
        <w:t>最后报价有算术错误的，谈判小组按以下原则对报价进行修正，修正的价格经供应商书面确认，并由供应商代表签字或者加盖单位公章确认后产生约束力，供应商不接受修正价格的，其报价作无效报价处理。</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（1）大写金额与小写金额不一致的，以大写金额为准。</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（2）总价金额与按单价汇总金额不一致的，以单价金额计算结果为准。</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修正后的报价由供应商代表签字或者加盖单位公章确认后产生约束力，不确认的，其报价无效。</w:t>
      </w:r>
    </w:p>
    <w:p>
      <w:pPr>
        <w:adjustRightInd w:val="0"/>
        <w:snapToGrid w:val="0"/>
        <w:spacing w:line="400" w:lineRule="exact"/>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27.3最后报价的评审</w:t>
      </w:r>
    </w:p>
    <w:p>
      <w:pPr>
        <w:adjustRightInd w:val="0"/>
        <w:snapToGrid w:val="0"/>
        <w:spacing w:line="400" w:lineRule="exact"/>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（1）如果有算术错误，最后报价将按上款规定进行算术修正。</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28.确定成交供应商</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28.1采购代理机构应当在评审结束后2个工作日内将评审报告送采购人确认。</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pPr>
        <w:adjustRightInd w:val="0"/>
        <w:snapToGrid w:val="0"/>
        <w:spacing w:line="400" w:lineRule="exact"/>
        <w:ind w:firstLine="42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28.3成交候选人并列的，由采购人自行确定成交供应商。</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29.谈判的特殊情形</w:t>
      </w:r>
    </w:p>
    <w:p>
      <w:pPr>
        <w:adjustRightInd w:val="0"/>
        <w:snapToGrid w:val="0"/>
        <w:spacing w:line="400" w:lineRule="exact"/>
        <w:ind w:firstLine="420" w:firstLineChars="200"/>
        <w:rPr>
          <w:rFonts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家的，采购人在本次谈判采购活动开始前，报经主管领导同意，可以与该两家供应商进行竞争性谈判采购。</w:t>
      </w:r>
    </w:p>
    <w:p>
      <w:pPr>
        <w:adjustRightInd w:val="0"/>
        <w:snapToGrid w:val="0"/>
        <w:spacing w:line="400" w:lineRule="exact"/>
        <w:ind w:firstLine="420" w:firstLineChars="200"/>
        <w:rPr>
          <w:rFonts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29.2</w:t>
      </w:r>
      <w:r>
        <w:rPr>
          <w:rFonts w:hint="eastAsia" w:asciiTheme="minorEastAsia" w:hAnsiTheme="minorEastAsia" w:eastAsiaTheme="minorEastAsia" w:cstheme="minorEastAsia"/>
          <w:color w:val="auto"/>
          <w:kern w:val="0"/>
          <w:szCs w:val="21"/>
          <w:highlight w:val="none"/>
        </w:rPr>
        <w:t>符合上款情形的，本章本节相关条款规定的供应商最低数量可以为两家。</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30.谈判终止</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30.1</w:t>
      </w:r>
      <w:r>
        <w:rPr>
          <w:rFonts w:hint="eastAsia" w:asciiTheme="minorEastAsia" w:hAnsiTheme="minorEastAsia" w:eastAsiaTheme="minorEastAsia" w:cstheme="minorEastAsia"/>
          <w:color w:val="auto"/>
          <w:kern w:val="0"/>
          <w:szCs w:val="21"/>
          <w:highlight w:val="none"/>
        </w:rPr>
        <w:t>出现下列情形之一的，采购人、采购代理机构应当终止竞争性谈判采购活动，</w:t>
      </w:r>
      <w:r>
        <w:rPr>
          <w:rFonts w:hint="eastAsia" w:asciiTheme="minorEastAsia" w:hAnsiTheme="minorEastAsia" w:eastAsiaTheme="minorEastAsia" w:cstheme="minorEastAsia"/>
          <w:color w:val="auto"/>
          <w:highlight w:val="none"/>
        </w:rPr>
        <w:t>在指定的媒体上</w:t>
      </w:r>
      <w:r>
        <w:rPr>
          <w:rFonts w:hint="eastAsia" w:asciiTheme="minorEastAsia" w:hAnsiTheme="minorEastAsia" w:eastAsiaTheme="minorEastAsia" w:cstheme="minorEastAsia"/>
          <w:color w:val="auto"/>
          <w:kern w:val="0"/>
          <w:szCs w:val="21"/>
          <w:highlight w:val="none"/>
        </w:rPr>
        <w:t xml:space="preserve">发布项目终止公告并说明原因，重新开展采购活动： </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（1）因情况变化，不再符合规定的竞争性谈判采购方式适用情形的；</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（2）出现影响采购公正的违法、违规行为的；</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（3）在采购过程中符合竞争要求的供应商或者报价未超过采购预算的供应商不足3家的，或者提交最后报价的供应商少于3家的；</w:t>
      </w:r>
    </w:p>
    <w:p>
      <w:pPr>
        <w:adjustRightInd w:val="0"/>
        <w:snapToGrid w:val="0"/>
        <w:spacing w:line="400" w:lineRule="exact"/>
        <w:ind w:firstLine="42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bCs/>
          <w:color w:val="auto"/>
          <w:szCs w:val="21"/>
          <w:highlight w:val="none"/>
        </w:rPr>
        <w:t>因重大变故，采购任务取消的。</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31.重新评审</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31.1除资格性审查认定错误和价格计算错误外，采购人、采购代理机构不以任何理由组织重新评审。</w:t>
      </w:r>
    </w:p>
    <w:p>
      <w:pPr>
        <w:adjustRightInd w:val="0"/>
        <w:snapToGri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采购人、采购代理机构发现谈判小组未按照谈判文件规定的评定成交的标准进行评审的，应当重新开展采购活动。</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32.保密及串通行为</w:t>
      </w:r>
    </w:p>
    <w:p>
      <w:pPr>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32.1谈判小组成员以及与评审工作有关的人员不得泄露评审情况以及评审过程中获悉的国家秘密、商业秘密。</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32.2</w:t>
      </w:r>
      <w:r>
        <w:rPr>
          <w:rFonts w:hint="eastAsia" w:asciiTheme="minorEastAsia" w:hAnsiTheme="minorEastAsia" w:eastAsiaTheme="minorEastAsia" w:cstheme="minorEastAsia"/>
          <w:color w:val="auto"/>
          <w:kern w:val="0"/>
          <w:szCs w:val="21"/>
          <w:highlight w:val="none"/>
        </w:rPr>
        <w:t>供应商</w:t>
      </w:r>
      <w:r>
        <w:rPr>
          <w:rFonts w:hint="eastAsia" w:asciiTheme="minorEastAsia" w:hAnsiTheme="minorEastAsia" w:eastAsiaTheme="minorEastAsia" w:cstheme="minorEastAsia"/>
          <w:color w:val="auto"/>
          <w:szCs w:val="21"/>
          <w:highlight w:val="none"/>
        </w:rPr>
        <w:t>不得与</w:t>
      </w:r>
      <w:r>
        <w:rPr>
          <w:rFonts w:hint="eastAsia" w:asciiTheme="minorEastAsia" w:hAnsiTheme="minorEastAsia" w:eastAsiaTheme="minorEastAsia" w:cstheme="minorEastAsia"/>
          <w:color w:val="auto"/>
          <w:kern w:val="0"/>
          <w:szCs w:val="21"/>
          <w:highlight w:val="none"/>
        </w:rPr>
        <w:t>采购人、采购代理机构、其他供应商恶意</w:t>
      </w:r>
      <w:r>
        <w:rPr>
          <w:rFonts w:hint="eastAsia" w:asciiTheme="minorEastAsia" w:hAnsiTheme="minorEastAsia" w:eastAsiaTheme="minorEastAsia" w:cstheme="minorEastAsia"/>
          <w:color w:val="auto"/>
          <w:szCs w:val="21"/>
          <w:highlight w:val="none"/>
        </w:rPr>
        <w:t>串通；不得向</w:t>
      </w:r>
      <w:r>
        <w:rPr>
          <w:rFonts w:hint="eastAsia" w:asciiTheme="minorEastAsia" w:hAnsiTheme="minorEastAsia" w:eastAsiaTheme="minorEastAsia" w:cstheme="minorEastAsia"/>
          <w:color w:val="auto"/>
          <w:kern w:val="0"/>
          <w:szCs w:val="21"/>
          <w:highlight w:val="none"/>
        </w:rPr>
        <w:t>采购人、采购代理机构</w:t>
      </w:r>
      <w:r>
        <w:rPr>
          <w:rFonts w:hint="eastAsia" w:asciiTheme="minorEastAsia" w:hAnsiTheme="minorEastAsia" w:eastAsiaTheme="minorEastAsia" w:cstheme="minorEastAsia"/>
          <w:color w:val="auto"/>
          <w:szCs w:val="21"/>
          <w:highlight w:val="none"/>
        </w:rPr>
        <w:t>或者谈判小组成员行贿或者提供其他不正当利益；不得提供虚假材料谋取成交；不得以任何方式干扰、影响采购工作。</w:t>
      </w:r>
    </w:p>
    <w:p>
      <w:pPr>
        <w:pStyle w:val="31"/>
        <w:widowControl w:val="0"/>
        <w:adjustRightInd w:val="0"/>
        <w:snapToGrid w:val="0"/>
        <w:spacing w:before="0" w:beforeAutospacing="0" w:after="0" w:afterAutospacing="0" w:line="400" w:lineRule="exact"/>
        <w:ind w:firstLine="420" w:firstLineChars="200"/>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32.3有下列情形之一的，</w:t>
      </w:r>
      <w:r>
        <w:rPr>
          <w:rFonts w:hint="eastAsia" w:asciiTheme="minorEastAsia" w:hAnsiTheme="minorEastAsia" w:eastAsiaTheme="minorEastAsia" w:cstheme="minorEastAsia"/>
          <w:color w:val="auto"/>
          <w:sz w:val="21"/>
          <w:szCs w:val="21"/>
          <w:highlight w:val="none"/>
          <w:lang w:val="zh-CN"/>
        </w:rPr>
        <w:t>属于恶意串通，</w:t>
      </w:r>
      <w:r>
        <w:rPr>
          <w:rFonts w:hint="eastAsia" w:asciiTheme="minorEastAsia" w:hAnsiTheme="minorEastAsia" w:eastAsiaTheme="minorEastAsia" w:cstheme="minorEastAsia"/>
          <w:color w:val="auto"/>
          <w:sz w:val="21"/>
          <w:szCs w:val="21"/>
          <w:highlight w:val="none"/>
        </w:rPr>
        <w:t>成交无效，并</w:t>
      </w:r>
      <w:r>
        <w:rPr>
          <w:rFonts w:ascii="Times New Roman" w:hAnsi="Times New Roman" w:cs="Times New Roman"/>
          <w:color w:val="auto"/>
          <w:kern w:val="2"/>
          <w:sz w:val="21"/>
          <w:szCs w:val="21"/>
          <w:highlight w:val="none"/>
          <w:lang w:val="zh-CN"/>
        </w:rPr>
        <w:t>依照</w:t>
      </w:r>
      <w:r>
        <w:rPr>
          <w:rFonts w:hint="eastAsia" w:ascii="Times New Roman" w:hAnsi="Times New Roman" w:cs="Times New Roman"/>
          <w:color w:val="auto"/>
          <w:kern w:val="2"/>
          <w:sz w:val="21"/>
          <w:szCs w:val="21"/>
          <w:highlight w:val="none"/>
          <w:lang w:val="zh-CN"/>
        </w:rPr>
        <w:t>相关</w:t>
      </w:r>
      <w:r>
        <w:rPr>
          <w:rFonts w:ascii="Times New Roman" w:hAnsi="Times New Roman" w:cs="Times New Roman"/>
          <w:color w:val="auto"/>
          <w:kern w:val="2"/>
          <w:sz w:val="21"/>
          <w:szCs w:val="21"/>
          <w:highlight w:val="none"/>
          <w:lang w:val="zh-CN"/>
        </w:rPr>
        <w:t>规定</w:t>
      </w:r>
      <w:r>
        <w:rPr>
          <w:rFonts w:hint="eastAsia" w:asciiTheme="minorEastAsia" w:hAnsiTheme="minorEastAsia" w:eastAsiaTheme="minorEastAsia" w:cstheme="minorEastAsia"/>
          <w:color w:val="auto"/>
          <w:sz w:val="21"/>
          <w:szCs w:val="21"/>
          <w:highlight w:val="none"/>
          <w:lang w:val="zh-CN"/>
        </w:rPr>
        <w:t>追究法律责任：</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获得其他供应商的响应情况，并修改其响应文件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授意供应商撤换、修改响应文件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（3）供应商之间协商技术方案、合同条款以及报价等响应文件实质性内容</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（4）属于同一集团、协会、商会等组织成员的供应商按照该组织要求协同参加竞争性谈判采购活动</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（5）供应商之间事先约定由某一特定供应商成交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w:t>
      </w:r>
      <w:r>
        <w:rPr>
          <w:rFonts w:hint="eastAsia" w:asciiTheme="minorEastAsia" w:hAnsiTheme="minorEastAsia" w:eastAsiaTheme="minorEastAsia" w:cstheme="minorEastAsia"/>
          <w:color w:val="auto"/>
          <w:highlight w:val="none"/>
        </w:rPr>
        <w:t>提</w:t>
      </w:r>
      <w:r>
        <w:rPr>
          <w:rFonts w:hint="eastAsia" w:asciiTheme="minorEastAsia" w:hAnsiTheme="minorEastAsia" w:eastAsiaTheme="minorEastAsia" w:cstheme="minorEastAsia"/>
          <w:color w:val="auto"/>
          <w:szCs w:val="21"/>
          <w:highlight w:val="none"/>
        </w:rPr>
        <w:t>交响应文件或者退出谈判或者放弃成交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（7）供应商与</w:t>
      </w:r>
      <w:r>
        <w:rPr>
          <w:rFonts w:hint="eastAsia" w:asciiTheme="minorEastAsia" w:hAnsiTheme="minorEastAsia" w:eastAsiaTheme="minorEastAsia" w:cstheme="minorEastAsia"/>
          <w:bCs/>
          <w:color w:val="auto"/>
          <w:szCs w:val="21"/>
          <w:highlight w:val="none"/>
        </w:rPr>
        <w:t>采购人、采购代理机构以及</w:t>
      </w:r>
      <w:r>
        <w:rPr>
          <w:rFonts w:hint="eastAsia" w:asciiTheme="minorEastAsia" w:hAnsiTheme="minorEastAsia" w:eastAsiaTheme="minorEastAsia" w:cstheme="minorEastAsia"/>
          <w:color w:val="auto"/>
          <w:szCs w:val="21"/>
          <w:highlight w:val="none"/>
        </w:rPr>
        <w:t>谈判小组成员之间、供应商相互之间，为谋求特定供应商成交或者排斥其他供应商的其他串通行为</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pPr>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（8）法律、行政法规或规章规定的其他串通行为。</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32" w:name="_Toc5359"/>
      <w:bookmarkStart w:id="33" w:name="_Toc2577"/>
      <w:r>
        <w:rPr>
          <w:rFonts w:hint="eastAsia" w:asciiTheme="minorEastAsia" w:hAnsiTheme="minorEastAsia" w:eastAsiaTheme="minorEastAsia" w:cstheme="minorEastAsia"/>
          <w:color w:val="auto"/>
          <w:sz w:val="28"/>
          <w:szCs w:val="28"/>
          <w:highlight w:val="none"/>
        </w:rPr>
        <w:t>（六）成交结果信息公布与授予合同</w:t>
      </w:r>
      <w:bookmarkEnd w:id="32"/>
      <w:bookmarkEnd w:id="33"/>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33.成交信息的公布</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33.1成交供应商确定后2个工作日内，采购人、采购代理机构应将成交结果信息在</w:t>
      </w:r>
      <w:r>
        <w:rPr>
          <w:rFonts w:hint="eastAsia" w:asciiTheme="minorEastAsia" w:hAnsiTheme="minorEastAsia" w:eastAsiaTheme="minorEastAsia" w:cstheme="minorEastAsia"/>
          <w:b/>
          <w:color w:val="auto"/>
          <w:highlight w:val="none"/>
        </w:rPr>
        <w:t>中国采购与招标网（http://www.chinabidding.com.cn）、保险职业学院官网（https://www.bxxy.com）上</w:t>
      </w:r>
      <w:r>
        <w:rPr>
          <w:rFonts w:hint="eastAsia" w:asciiTheme="minorEastAsia" w:hAnsiTheme="minorEastAsia" w:eastAsiaTheme="minorEastAsia" w:cstheme="minorEastAsia"/>
          <w:color w:val="auto"/>
          <w:highlight w:val="none"/>
        </w:rPr>
        <w:t>公布。</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34.询问及异议</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34.1供应商对本次采购活动事项有疑问的，可以向采购人、采购代理机构提出询问。</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34.2供应商认为采购文件使自己的权益受到损害的，应当在递交首次响应文件截止时间前一日内，以书面形式向采购人和采购代理机构同时提出异议。</w:t>
      </w:r>
    </w:p>
    <w:p>
      <w:pPr>
        <w:adjustRightInd w:val="0"/>
        <w:snapToGrid w:val="0"/>
        <w:spacing w:line="400" w:lineRule="exact"/>
        <w:ind w:firstLine="420" w:firstLineChars="200"/>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34.3供应商认为成交结果使自己的权益受到损害的，应当在结果公告发布之日起一个工作日内，以书面形式向采购人和采购代理机构同时提出异议。</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35.成交通知</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35.1成交供应商确定后，采购人、采购代理机构将以书面形式向成交供应商发出成交通知书。成交通知书对采购人和成交供应商具有同等法律效力。</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35.2成交通知书是合同文件的组成部分。</w:t>
      </w:r>
    </w:p>
    <w:p>
      <w:pPr>
        <w:tabs>
          <w:tab w:val="left" w:pos="7560"/>
          <w:tab w:val="left" w:pos="7740"/>
          <w:tab w:val="left" w:pos="7920"/>
        </w:tabs>
        <w:autoSpaceDN w:val="0"/>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35.3</w:t>
      </w:r>
      <w:r>
        <w:rPr>
          <w:rFonts w:hint="eastAsia" w:asciiTheme="minorEastAsia" w:hAnsiTheme="minorEastAsia" w:eastAsiaTheme="minorEastAsia" w:cstheme="minorEastAsia"/>
          <w:color w:val="auto"/>
          <w:szCs w:val="21"/>
          <w:highlight w:val="none"/>
        </w:rPr>
        <w:t>谈判文件要求成交供应商向采购人提交履约保证金壹万元整，提交方式为：银行保函或银行转账 ，保证期限：自合同生效之日起至合同约定的成交供应商主要义务履行完毕止。联合体成交的，履约担保由联合体各方或联合体中牵头人的名义提交。</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35.4成交供应商</w:t>
      </w:r>
      <w:r>
        <w:rPr>
          <w:rFonts w:hint="eastAsia" w:asciiTheme="minorEastAsia" w:hAnsiTheme="minorEastAsia" w:eastAsiaTheme="minorEastAsia" w:cstheme="minorEastAsia"/>
          <w:color w:val="auto"/>
          <w:spacing w:val="4"/>
          <w:highlight w:val="none"/>
        </w:rPr>
        <w:t>没有按照本章第35.3</w:t>
      </w:r>
      <w:r>
        <w:rPr>
          <w:rFonts w:hint="eastAsia" w:asciiTheme="minorEastAsia" w:hAnsiTheme="minorEastAsia" w:eastAsiaTheme="minorEastAsia" w:cstheme="minorEastAsia"/>
          <w:color w:val="auto"/>
          <w:kern w:val="0"/>
          <w:highlight w:val="none"/>
          <w:lang w:val="zh-CN"/>
        </w:rPr>
        <w:t>款</w:t>
      </w:r>
      <w:r>
        <w:rPr>
          <w:rFonts w:hint="eastAsia" w:asciiTheme="minorEastAsia" w:hAnsiTheme="minorEastAsia" w:eastAsiaTheme="minorEastAsia" w:cstheme="minorEastAsia"/>
          <w:color w:val="auto"/>
          <w:spacing w:val="4"/>
          <w:highlight w:val="none"/>
        </w:rPr>
        <w:t>规定</w:t>
      </w:r>
      <w:r>
        <w:rPr>
          <w:rFonts w:hint="eastAsia" w:asciiTheme="minorEastAsia" w:hAnsiTheme="minorEastAsia" w:eastAsiaTheme="minorEastAsia" w:cstheme="minorEastAsia"/>
          <w:color w:val="auto"/>
          <w:highlight w:val="none"/>
        </w:rPr>
        <w:t>提交履约担保的</w:t>
      </w:r>
      <w:r>
        <w:rPr>
          <w:rFonts w:hint="eastAsia" w:asciiTheme="minorEastAsia" w:hAnsiTheme="minorEastAsia" w:eastAsiaTheme="minorEastAsia" w:cstheme="minorEastAsia"/>
          <w:color w:val="auto"/>
          <w:spacing w:val="4"/>
          <w:highlight w:val="none"/>
        </w:rPr>
        <w:t>，视为放弃</w:t>
      </w:r>
      <w:r>
        <w:rPr>
          <w:rFonts w:hint="eastAsia" w:asciiTheme="minorEastAsia" w:hAnsiTheme="minorEastAsia" w:eastAsiaTheme="minorEastAsia" w:cstheme="minorEastAsia"/>
          <w:color w:val="auto"/>
          <w:highlight w:val="none"/>
        </w:rPr>
        <w:t>成交资格</w:t>
      </w:r>
      <w:r>
        <w:rPr>
          <w:rFonts w:hint="eastAsia" w:asciiTheme="minorEastAsia" w:hAnsiTheme="minorEastAsia" w:eastAsiaTheme="minorEastAsia" w:cstheme="minorEastAsia"/>
          <w:color w:val="auto"/>
          <w:spacing w:val="4"/>
          <w:highlight w:val="none"/>
        </w:rPr>
        <w:t>，</w:t>
      </w:r>
      <w:r>
        <w:rPr>
          <w:rFonts w:hint="eastAsia" w:asciiTheme="minorEastAsia" w:hAnsiTheme="minorEastAsia" w:eastAsiaTheme="minorEastAsia" w:cstheme="minorEastAsia"/>
          <w:color w:val="auto"/>
          <w:spacing w:val="2"/>
          <w:highlight w:val="none"/>
        </w:rPr>
        <w:t>其保证金不予退还。</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36.签订合同</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36.1谈判文件、成交供应商的响应文件及其补充的响应文件等均为签订采购合同的依据。</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36.2成交供应商应当在成交通知书发出之日起30日内与采购人签订采购合同。</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36.3成交供应商应当按照合同约定履行义务。成交供应商不得向他人转让成交项目，也不得将成交项目分包后分别向他人转让。</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36.4成交供应商有下列情形之一的，责令限期改正，情节严重的，列入不良行为记录名单，在1至3年内禁止参加采购活动，并予以通报：</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（一）成交后无正当理由不与采购人签订合同的；</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（二）未按照采购文件确定的事项签订采购合同，或者与采购人另行订立背离合同实质性内容的协议的；</w:t>
      </w:r>
    </w:p>
    <w:p>
      <w:pPr>
        <w:pStyle w:val="16"/>
        <w:adjustRightInd w:val="0"/>
        <w:snapToGrid w:val="0"/>
        <w:spacing w:line="40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（三）拒绝履行合同义务的；</w:t>
      </w:r>
    </w:p>
    <w:p>
      <w:pPr>
        <w:pStyle w:val="16"/>
        <w:adjustRightInd w:val="0"/>
        <w:snapToGrid w:val="0"/>
        <w:spacing w:line="400" w:lineRule="exact"/>
        <w:ind w:firstLine="420" w:firstLineChars="200"/>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kern w:val="0"/>
          <w:highlight w:val="none"/>
        </w:rPr>
        <w:t>违反法律、规章、规范性文件规定的。</w:t>
      </w:r>
    </w:p>
    <w:p>
      <w:pPr>
        <w:pStyle w:val="6"/>
        <w:keepNext w:val="0"/>
        <w:keepLines w:val="0"/>
        <w:numPr>
          <w:ilvl w:val="2"/>
          <w:numId w:val="0"/>
        </w:numPr>
        <w:adjustRightInd w:val="0"/>
        <w:snapToGrid w:val="0"/>
        <w:spacing w:before="0" w:after="0" w:line="400" w:lineRule="exact"/>
        <w:jc w:val="center"/>
        <w:rPr>
          <w:rFonts w:asciiTheme="minorEastAsia" w:hAnsiTheme="minorEastAsia" w:eastAsiaTheme="minorEastAsia" w:cstheme="minorEastAsia"/>
          <w:color w:val="auto"/>
          <w:sz w:val="28"/>
          <w:szCs w:val="28"/>
          <w:highlight w:val="none"/>
        </w:rPr>
      </w:pPr>
      <w:bookmarkStart w:id="34" w:name="_Toc3366"/>
      <w:bookmarkStart w:id="35" w:name="_Toc22043"/>
      <w:r>
        <w:rPr>
          <w:rFonts w:hint="eastAsia" w:asciiTheme="minorEastAsia" w:hAnsiTheme="minorEastAsia" w:eastAsiaTheme="minorEastAsia" w:cstheme="minorEastAsia"/>
          <w:color w:val="auto"/>
          <w:sz w:val="28"/>
          <w:szCs w:val="28"/>
          <w:highlight w:val="none"/>
        </w:rPr>
        <w:t>（七）其他规定</w:t>
      </w:r>
      <w:bookmarkEnd w:id="34"/>
      <w:bookmarkEnd w:id="35"/>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38.代理服务费</w:t>
      </w:r>
    </w:p>
    <w:p>
      <w:pPr>
        <w:tabs>
          <w:tab w:val="left" w:pos="420"/>
          <w:tab w:val="left" w:pos="7560"/>
          <w:tab w:val="left" w:pos="7740"/>
          <w:tab w:val="left" w:pos="7920"/>
        </w:tabs>
        <w:adjustRightInd w:val="0"/>
        <w:snapToGrid w:val="0"/>
        <w:spacing w:line="40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38.1采购代理服务费由成交供应商向采购代理机构全额支付，参照计价格[2002]1980号文件标准。</w:t>
      </w:r>
    </w:p>
    <w:p>
      <w:pPr>
        <w:pStyle w:val="7"/>
        <w:keepNext w:val="0"/>
        <w:keepLines w:val="0"/>
        <w:adjustRightInd w:val="0"/>
        <w:snapToGrid w:val="0"/>
        <w:spacing w:before="0" w:after="0" w:line="400" w:lineRule="exact"/>
        <w:ind w:firstLine="482"/>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39.其他规定</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39.1</w:t>
      </w:r>
      <w:r>
        <w:rPr>
          <w:rFonts w:hint="eastAsia" w:asciiTheme="minorEastAsia" w:hAnsiTheme="minorEastAsia" w:eastAsiaTheme="minorEastAsia" w:cstheme="minorEastAsia"/>
          <w:color w:val="auto"/>
          <w:szCs w:val="21"/>
          <w:highlight w:val="none"/>
        </w:rPr>
        <w:t>对列入失信被执行人、重大税收违法案件当事人名单、政府采购严重违法失信行为记录名单的供应商，应当拒绝其参与采购活动。两个以上的自然人、法人或者其他组织组成一个联合体，以一个供应商的身份共同参加采购活动的，应当对所有联合体成员进行信用记录查询，联合体成员存在不良信用记录的，视同联合体存在不良信用记录。</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（1）信用信息查询的查询渠道：“信用中国”网站（www.creditchina.gov.cn）、中国政府采购网（www.ccgp.gov.cn）。</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（2）信用信息查询的截止时点：至本项目响应文件递交截止时间止。</w:t>
      </w:r>
    </w:p>
    <w:p>
      <w:pPr>
        <w:adjustRightInd w:val="0"/>
        <w:snapToGrid w:val="0"/>
        <w:spacing w:line="40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（3）信用信息查询记录的具体方式：采购人或采购代理机构在开标时在规定的查询渠道进行查询。</w:t>
      </w:r>
    </w:p>
    <w:p>
      <w:pPr>
        <w:adjustRightInd w:val="0"/>
        <w:snapToGrid w:val="0"/>
        <w:spacing w:line="400" w:lineRule="exact"/>
        <w:ind w:firstLine="420" w:firstLineChars="200"/>
        <w:jc w:val="left"/>
        <w:rPr>
          <w:rFonts w:ascii="宋体" w:hAnsi="宋体"/>
          <w:color w:val="auto"/>
          <w:szCs w:val="21"/>
          <w:highlight w:val="none"/>
        </w:rPr>
      </w:pPr>
      <w:r>
        <w:rPr>
          <w:rFonts w:hint="eastAsia" w:asciiTheme="minorEastAsia" w:hAnsiTheme="minorEastAsia" w:eastAsiaTheme="minorEastAsia" w:cstheme="minorEastAsia"/>
          <w:color w:val="auto"/>
          <w:szCs w:val="21"/>
          <w:highlight w:val="none"/>
        </w:rPr>
        <w:t>（4）信用信息查询记录证据留存的具体方式：查询记录的网上打印件。</w:t>
      </w:r>
    </w:p>
    <w:p>
      <w:pPr>
        <w:pStyle w:val="2"/>
        <w:ind w:firstLine="200"/>
        <w:rPr>
          <w:rFonts w:ascii="宋体" w:hAnsi="宋体"/>
          <w:color w:val="auto"/>
          <w:szCs w:val="21"/>
          <w:highlight w:val="none"/>
        </w:rPr>
      </w:pPr>
    </w:p>
    <w:p>
      <w:pPr>
        <w:ind w:firstLine="723" w:firstLineChars="200"/>
        <w:jc w:val="center"/>
        <w:rPr>
          <w:rFonts w:ascii="黑体" w:hAnsi="黑体" w:eastAsia="黑体"/>
          <w:b/>
          <w:color w:val="auto"/>
          <w:sz w:val="36"/>
          <w:szCs w:val="36"/>
          <w:highlight w:val="none"/>
        </w:rPr>
      </w:pPr>
    </w:p>
    <w:p>
      <w:pPr>
        <w:ind w:firstLine="723" w:firstLineChars="200"/>
        <w:jc w:val="center"/>
        <w:rPr>
          <w:rFonts w:ascii="黑体" w:hAnsi="黑体" w:eastAsia="黑体"/>
          <w:b/>
          <w:color w:val="auto"/>
          <w:sz w:val="36"/>
          <w:szCs w:val="36"/>
          <w:highlight w:val="none"/>
        </w:rPr>
      </w:pPr>
    </w:p>
    <w:p>
      <w:pPr>
        <w:pStyle w:val="16"/>
        <w:spacing w:line="360" w:lineRule="auto"/>
        <w:ind w:firstLine="2530" w:firstLineChars="700"/>
        <w:outlineLvl w:val="0"/>
        <w:rPr>
          <w:rFonts w:ascii="黑体" w:hAnsi="黑体" w:eastAsia="黑体"/>
          <w:b/>
          <w:color w:val="auto"/>
          <w:sz w:val="36"/>
          <w:szCs w:val="36"/>
          <w:highlight w:val="none"/>
        </w:rPr>
        <w:sectPr>
          <w:headerReference r:id="rId11" w:type="first"/>
          <w:footerReference r:id="rId13" w:type="first"/>
          <w:footerReference r:id="rId12" w:type="default"/>
          <w:pgSz w:w="11906" w:h="16838"/>
          <w:pgMar w:top="1134" w:right="1134" w:bottom="1134" w:left="1134" w:header="851" w:footer="850" w:gutter="0"/>
          <w:cols w:space="0" w:num="1"/>
          <w:titlePg/>
          <w:docGrid w:type="lines" w:linePitch="312" w:charSpace="0"/>
        </w:sectPr>
      </w:pPr>
    </w:p>
    <w:p>
      <w:pPr>
        <w:pStyle w:val="16"/>
        <w:spacing w:line="360" w:lineRule="auto"/>
        <w:jc w:val="center"/>
        <w:outlineLvl w:val="0"/>
        <w:rPr>
          <w:color w:val="auto"/>
          <w:szCs w:val="21"/>
          <w:highlight w:val="none"/>
        </w:rPr>
      </w:pPr>
      <w:bookmarkStart w:id="36" w:name="_Toc27914"/>
      <w:r>
        <w:rPr>
          <w:rFonts w:hint="eastAsia" w:ascii="黑体" w:hAnsi="黑体" w:eastAsia="黑体"/>
          <w:b/>
          <w:color w:val="auto"/>
          <w:sz w:val="36"/>
          <w:szCs w:val="36"/>
          <w:highlight w:val="none"/>
        </w:rPr>
        <w:t>三、采购需求</w:t>
      </w:r>
      <w:bookmarkEnd w:id="36"/>
    </w:p>
    <w:p>
      <w:pPr>
        <w:adjustRightInd w:val="0"/>
        <w:snapToGrid w:val="0"/>
        <w:spacing w:line="440" w:lineRule="exact"/>
        <w:ind w:right="23" w:rightChars="11"/>
        <w:rPr>
          <w:rFonts w:ascii="宋体" w:hAnsi="宋体" w:cs="宋体"/>
          <w:b/>
          <w:color w:val="auto"/>
          <w:szCs w:val="21"/>
          <w:highlight w:val="none"/>
        </w:rPr>
      </w:pPr>
      <w:bookmarkStart w:id="37" w:name="_Toc27523"/>
      <w:bookmarkStart w:id="38" w:name="_Toc26068"/>
      <w:bookmarkStart w:id="39" w:name="_Toc22104"/>
      <w:bookmarkStart w:id="40" w:name="_Toc300678508"/>
      <w:bookmarkStart w:id="41" w:name="_Toc25337"/>
      <w:r>
        <w:rPr>
          <w:rFonts w:hint="eastAsia" w:ascii="宋体" w:hAnsi="宋体" w:cs="宋体"/>
          <w:b/>
          <w:color w:val="auto"/>
          <w:szCs w:val="21"/>
          <w:highlight w:val="none"/>
        </w:rPr>
        <w:t>（一）采购项目名称</w:t>
      </w:r>
      <w:bookmarkEnd w:id="37"/>
      <w:bookmarkEnd w:id="38"/>
      <w:bookmarkEnd w:id="39"/>
    </w:p>
    <w:p>
      <w:pPr>
        <w:numPr>
          <w:ilvl w:val="255"/>
          <w:numId w:val="0"/>
        </w:numPr>
        <w:adjustRightInd w:val="0"/>
        <w:snapToGrid w:val="0"/>
        <w:spacing w:line="440" w:lineRule="exact"/>
        <w:ind w:right="23" w:rightChars="11" w:firstLine="420" w:firstLineChars="200"/>
        <w:rPr>
          <w:rFonts w:ascii="宋体" w:hAnsi="宋体" w:cs="宋体"/>
          <w:b/>
          <w:color w:val="auto"/>
          <w:szCs w:val="21"/>
          <w:highlight w:val="none"/>
        </w:rPr>
      </w:pPr>
      <w:bookmarkStart w:id="42" w:name="_Toc16763"/>
      <w:r>
        <w:rPr>
          <w:rFonts w:hint="eastAsia" w:ascii="宋体" w:hAnsi="宋体" w:cs="宋体"/>
          <w:bCs/>
          <w:color w:val="auto"/>
          <w:szCs w:val="21"/>
          <w:highlight w:val="none"/>
        </w:rPr>
        <w:t>保险职业学院学生公寓1、2、3栋整栋、学生公寓9栋13间及部分走道、墙面粉刷工程</w:t>
      </w:r>
    </w:p>
    <w:p>
      <w:pPr>
        <w:spacing w:line="360" w:lineRule="auto"/>
        <w:rPr>
          <w:rFonts w:ascii="宋体" w:hAnsi="宋体" w:cs="宋体"/>
          <w:color w:val="auto"/>
          <w:sz w:val="22"/>
          <w:szCs w:val="22"/>
          <w:highlight w:val="none"/>
        </w:rPr>
      </w:pPr>
      <w:bookmarkStart w:id="43" w:name="_Toc4338"/>
      <w:bookmarkStart w:id="44" w:name="_Toc28610"/>
      <w:r>
        <w:rPr>
          <w:rFonts w:hint="eastAsia" w:ascii="宋体" w:hAnsi="宋体" w:cs="宋体"/>
          <w:b/>
          <w:color w:val="auto"/>
          <w:szCs w:val="21"/>
          <w:highlight w:val="none"/>
        </w:rPr>
        <w:t>（二）预算金额（最高限价</w:t>
      </w:r>
      <w:r>
        <w:rPr>
          <w:rFonts w:hint="eastAsia" w:ascii="宋体" w:hAnsi="宋体" w:cs="宋体"/>
          <w:b/>
          <w:color w:val="auto"/>
          <w:szCs w:val="21"/>
          <w:highlight w:val="none"/>
          <w:lang w:eastAsia="zh-CN"/>
        </w:rPr>
        <w:t>；</w:t>
      </w:r>
      <w:r>
        <w:rPr>
          <w:rFonts w:hint="eastAsia" w:ascii="宋体" w:hAnsi="宋体" w:cs="宋体"/>
          <w:bCs/>
          <w:color w:val="auto"/>
          <w:szCs w:val="21"/>
          <w:highlight w:val="none"/>
        </w:rPr>
        <w:t>人民币</w:t>
      </w:r>
      <w:r>
        <w:rPr>
          <w:rFonts w:hint="eastAsia" w:ascii="宋体" w:hAnsi="宋体" w:cs="宋体"/>
          <w:b/>
          <w:color w:val="auto"/>
          <w:szCs w:val="21"/>
          <w:highlight w:val="none"/>
        </w:rPr>
        <w:t>）</w:t>
      </w:r>
      <w:r>
        <w:rPr>
          <w:rFonts w:hint="eastAsia" w:ascii="宋体" w:hAnsi="宋体" w:cs="宋体"/>
          <w:bCs/>
          <w:color w:val="auto"/>
          <w:szCs w:val="21"/>
          <w:highlight w:val="none"/>
        </w:rPr>
        <w:t>：总价：798000.00元；单价：35</w:t>
      </w:r>
      <w:r>
        <w:rPr>
          <w:rFonts w:hint="default" w:ascii="宋体" w:hAnsi="宋体" w:cs="宋体"/>
          <w:bCs/>
          <w:color w:val="auto"/>
          <w:szCs w:val="21"/>
          <w:highlight w:val="none"/>
          <w:lang w:val="en-US"/>
        </w:rPr>
        <w:t>.00</w:t>
      </w:r>
      <w:r>
        <w:rPr>
          <w:rFonts w:hint="eastAsia" w:ascii="宋体" w:hAnsi="宋体" w:cs="宋体"/>
          <w:bCs/>
          <w:color w:val="auto"/>
          <w:szCs w:val="21"/>
          <w:highlight w:val="none"/>
        </w:rPr>
        <w:t>元/平方米。</w:t>
      </w:r>
    </w:p>
    <w:p>
      <w:pPr>
        <w:adjustRightInd w:val="0"/>
        <w:snapToGrid w:val="0"/>
        <w:spacing w:line="440" w:lineRule="exact"/>
        <w:ind w:right="23" w:rightChars="11"/>
        <w:rPr>
          <w:rFonts w:ascii="宋体" w:hAnsi="宋体" w:cs="宋体"/>
          <w:b/>
          <w:color w:val="auto"/>
          <w:szCs w:val="21"/>
          <w:highlight w:val="none"/>
        </w:rPr>
      </w:pPr>
      <w:r>
        <w:rPr>
          <w:rFonts w:hint="eastAsia" w:ascii="宋体" w:hAnsi="宋体" w:cs="宋体"/>
          <w:b/>
          <w:color w:val="auto"/>
          <w:szCs w:val="21"/>
          <w:highlight w:val="none"/>
        </w:rPr>
        <w:t>（三）工程概况</w:t>
      </w:r>
      <w:bookmarkEnd w:id="42"/>
      <w:bookmarkEnd w:id="43"/>
      <w:bookmarkEnd w:id="44"/>
    </w:p>
    <w:bookmarkEnd w:id="40"/>
    <w:p>
      <w:pPr>
        <w:numPr>
          <w:ilvl w:val="255"/>
          <w:numId w:val="0"/>
        </w:numPr>
        <w:adjustRightInd w:val="0"/>
        <w:snapToGrid w:val="0"/>
        <w:spacing w:line="440" w:lineRule="exact"/>
        <w:ind w:right="23" w:rightChars="11" w:firstLine="420" w:firstLineChars="200"/>
        <w:rPr>
          <w:rFonts w:ascii="宋体" w:hAnsi="宋体" w:cs="宋体"/>
          <w:b/>
          <w:color w:val="auto"/>
          <w:szCs w:val="21"/>
          <w:highlight w:val="none"/>
        </w:rPr>
      </w:pPr>
      <w:bookmarkStart w:id="45" w:name="_Toc16089"/>
      <w:bookmarkStart w:id="46" w:name="_Toc225336549"/>
      <w:r>
        <w:rPr>
          <w:rFonts w:hint="eastAsia" w:ascii="宋体" w:hAnsi="宋体" w:cs="宋体"/>
          <w:color w:val="auto"/>
          <w:highlight w:val="none"/>
        </w:rPr>
        <w:t>本项目为保险职业学院学生公寓1、2、3栋整栋、学生公寓9栋13间及部分走道、墙面粉刷工程，主要内容包括：保险职业学院学生公寓1、2、3栋整体粉刷、9栋211、212、220、227、228室内及走道、404、406、408、409、410、411、412、413房间内墙面约22800平米墙面清理，发霉、空鼓、裂开部分铲灰壳、刮腻子、墙面整体打磨、多乐士净味漆粉刷二遍，卫生清洁及垃圾清运等相关工作。</w:t>
      </w:r>
    </w:p>
    <w:p>
      <w:pPr>
        <w:numPr>
          <w:ilvl w:val="255"/>
          <w:numId w:val="0"/>
        </w:numPr>
        <w:adjustRightInd w:val="0"/>
        <w:snapToGrid w:val="0"/>
        <w:spacing w:line="440" w:lineRule="exact"/>
        <w:ind w:right="23" w:rightChars="11"/>
        <w:rPr>
          <w:rFonts w:ascii="宋体" w:hAnsi="宋体" w:cs="宋体"/>
          <w:b/>
          <w:color w:val="auto"/>
          <w:szCs w:val="21"/>
          <w:highlight w:val="none"/>
        </w:rPr>
      </w:pPr>
      <w:bookmarkStart w:id="47" w:name="_Toc10968"/>
      <w:bookmarkStart w:id="48" w:name="_Toc32005"/>
      <w:r>
        <w:rPr>
          <w:rFonts w:hint="eastAsia" w:ascii="宋体" w:hAnsi="宋体" w:cs="宋体"/>
          <w:b/>
          <w:color w:val="auto"/>
          <w:szCs w:val="21"/>
          <w:highlight w:val="none"/>
        </w:rPr>
        <w:t>（四）项目说明</w:t>
      </w:r>
      <w:bookmarkEnd w:id="45"/>
      <w:bookmarkEnd w:id="47"/>
      <w:bookmarkEnd w:id="48"/>
    </w:p>
    <w:p>
      <w:pPr>
        <w:adjustRightInd w:val="0"/>
        <w:snapToGrid w:val="0"/>
        <w:spacing w:line="440" w:lineRule="exact"/>
        <w:ind w:right="23" w:rightChars="11" w:firstLine="420" w:firstLineChars="200"/>
        <w:rPr>
          <w:rFonts w:ascii="宋体" w:hAnsi="宋体" w:cs="宋体"/>
          <w:b/>
          <w:color w:val="auto"/>
          <w:szCs w:val="21"/>
          <w:highlight w:val="none"/>
        </w:rPr>
      </w:pPr>
      <w:r>
        <w:rPr>
          <w:rFonts w:hint="eastAsia" w:ascii="宋体" w:hAnsi="宋体" w:cs="宋体"/>
          <w:bCs/>
          <w:color w:val="auto"/>
          <w:szCs w:val="21"/>
          <w:highlight w:val="none"/>
        </w:rPr>
        <w:t>1. 工程量：</w:t>
      </w:r>
      <w:r>
        <w:rPr>
          <w:rFonts w:hint="eastAsia" w:ascii="宋体" w:hAnsi="宋体" w:cs="宋体"/>
          <w:b/>
          <w:color w:val="auto"/>
          <w:szCs w:val="21"/>
          <w:highlight w:val="none"/>
        </w:rPr>
        <w:t>约22800平方米</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投标报价应是竞争性谈判文件所确定的招标范围内的全部工作内容的价格体现，包括施工设备、劳务、管理、材料、维护、利润、税金、与施工方有关的保险费及政策性文件规定的各项费用，采用固定单价报价，应考虑以下风险系数：</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（1）各种材料费、设备运输、人工、文明施工、利润、税金等一切费用；</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（2）工程中产生的垃圾均需由成交供应商负责运出校外，费用由成交供应商承担；</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（3）施工等前期费用；</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（4）施工过程中需产生的其他费用。</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 技术规范</w:t>
      </w:r>
    </w:p>
    <w:p>
      <w:pPr>
        <w:adjustRightInd w:val="0"/>
        <w:snapToGrid w:val="0"/>
        <w:spacing w:line="44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本项目应严格按照现行最新的施工验收规范进行施工。主要技术规范（包括但不限于）：</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（1）《砌体结构设计规范》（GB 50003）</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（2）《建筑结构荷载规范》（GB50009）</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（3）《园林绿化工程施工及验收及验收规范》（DB11/T-212-2009)</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（4）《建筑抗震设计规范》（GB50011）</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（5）《建筑设计防火规范》（GB50016）</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（6）《建筑物防雷设计规范》（GB50057）</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（7）《建筑结构可靠度设计统一标准》（GB50068 ）</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（8）《工程结构可靠性设计统一标准》（GB 50153）</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（9）《混凝土质量控制标准》（GB 50164）</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（10）《建设工程施工现场供用电安全规范》（GB50194）</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（11）《建筑地基基础工程质量验收规范》（GB50202）</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（12）《建筑地面工程施工质量验收规范》（GB50209）</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（13）《建筑装饰装修工程施工质量验收规范》（GB50210）</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（14）《现场设备、工业管道焊接工程施工及验收规范》（GB50236）</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（15）《建筑给水排水及采暖工程施工质量验收规范》（GB50242）</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（16）《给水排水管道工程施工及验收规范》（GB50268）</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（17）《建筑工程施工质量验收统一标准》（GB50300）</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（18）《建筑工程质量检验评定标准》（GBJ301）</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（19）《建筑电气工程施工质量验收规范》（GB50303）</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（20）《建筑安全检查标准》（JGJ59）</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（21）《砌体工程施工质量验收规范》（GB50230）</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（22）《混凝土结构工程施工质量验收规范》（GBJ50204）</w:t>
      </w:r>
    </w:p>
    <w:p>
      <w:pPr>
        <w:adjustRightInd w:val="0"/>
        <w:snapToGrid w:val="0"/>
        <w:spacing w:line="420" w:lineRule="exact"/>
        <w:ind w:right="23" w:rightChars="11" w:firstLine="420" w:firstLineChars="200"/>
        <w:rPr>
          <w:rFonts w:ascii="宋体" w:hAnsi="宋体" w:cs="宋体"/>
          <w:bCs/>
          <w:color w:val="auto"/>
          <w:szCs w:val="21"/>
          <w:highlight w:val="none"/>
        </w:rPr>
      </w:pPr>
      <w:r>
        <w:rPr>
          <w:rFonts w:hint="eastAsia" w:ascii="宋体" w:hAnsi="宋体" w:cs="宋体"/>
          <w:bCs/>
          <w:color w:val="auto"/>
          <w:szCs w:val="21"/>
          <w:highlight w:val="none"/>
        </w:rPr>
        <w:t>（23）《施工现场临时用电安全技术规范》（JGJ46）</w:t>
      </w:r>
    </w:p>
    <w:p>
      <w:pPr>
        <w:adjustRightInd w:val="0"/>
        <w:snapToGrid w:val="0"/>
        <w:spacing w:line="440" w:lineRule="exact"/>
        <w:ind w:right="23" w:rightChars="11"/>
        <w:rPr>
          <w:rFonts w:ascii="宋体" w:hAnsi="宋体" w:cs="宋体"/>
          <w:bCs/>
          <w:color w:val="auto"/>
          <w:szCs w:val="21"/>
          <w:highlight w:val="none"/>
        </w:rPr>
      </w:pPr>
      <w:r>
        <w:rPr>
          <w:rFonts w:hint="eastAsia" w:ascii="宋体" w:hAnsi="宋体" w:cs="宋体"/>
          <w:bCs/>
          <w:color w:val="auto"/>
          <w:szCs w:val="21"/>
          <w:highlight w:val="none"/>
        </w:rPr>
        <w:t xml:space="preserve">    除上述技术规范外，若有遗缺，按国家或行业现行的有关规定执行，国家和行业不全的按本地有关部门规定和标准执行。</w:t>
      </w:r>
    </w:p>
    <w:p>
      <w:pPr>
        <w:adjustRightInd w:val="0"/>
        <w:snapToGrid w:val="0"/>
        <w:spacing w:line="440" w:lineRule="exact"/>
        <w:ind w:right="21" w:rightChars="10"/>
        <w:rPr>
          <w:rFonts w:ascii="宋体" w:hAnsi="宋体" w:cs="宋体"/>
          <w:b/>
          <w:color w:val="auto"/>
          <w:szCs w:val="21"/>
          <w:highlight w:val="none"/>
        </w:rPr>
      </w:pPr>
      <w:bookmarkStart w:id="49" w:name="_Toc7273"/>
      <w:bookmarkStart w:id="50" w:name="_Toc7634"/>
      <w:bookmarkStart w:id="51" w:name="_Toc12766"/>
      <w:r>
        <w:rPr>
          <w:rFonts w:hint="eastAsia" w:ascii="宋体" w:hAnsi="宋体" w:cs="宋体"/>
          <w:b/>
          <w:color w:val="auto"/>
          <w:szCs w:val="21"/>
          <w:highlight w:val="none"/>
        </w:rPr>
        <w:t>（五）工期及质量要求</w:t>
      </w:r>
      <w:bookmarkEnd w:id="46"/>
      <w:bookmarkEnd w:id="49"/>
      <w:bookmarkEnd w:id="50"/>
      <w:bookmarkEnd w:id="51"/>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1. 工期要求：</w:t>
      </w:r>
      <w:r>
        <w:rPr>
          <w:rFonts w:hint="eastAsia" w:asciiTheme="minorEastAsia" w:hAnsiTheme="minorEastAsia" w:eastAsiaTheme="minorEastAsia" w:cstheme="minorEastAsia"/>
          <w:color w:val="auto"/>
          <w:highlight w:val="none"/>
        </w:rPr>
        <w:t>采购合同签订后</w:t>
      </w:r>
      <w:r>
        <w:rPr>
          <w:rFonts w:hint="eastAsia" w:asciiTheme="minorEastAsia" w:hAnsiTheme="minorEastAsia" w:eastAsiaTheme="minorEastAsia" w:cstheme="minorEastAsia"/>
          <w:color w:val="auto"/>
          <w:highlight w:val="none"/>
          <w:u w:val="single"/>
        </w:rPr>
        <w:t>20日历天</w:t>
      </w:r>
      <w:r>
        <w:rPr>
          <w:rFonts w:hint="eastAsia" w:asciiTheme="minorEastAsia" w:hAnsiTheme="minorEastAsia" w:eastAsiaTheme="minorEastAsia" w:cstheme="minorEastAsia"/>
          <w:color w:val="auto"/>
          <w:highlight w:val="none"/>
        </w:rPr>
        <w:t>内完工，并验收合格</w:t>
      </w:r>
      <w:r>
        <w:rPr>
          <w:rFonts w:hint="eastAsia" w:ascii="宋体" w:hAnsi="宋体" w:cs="宋体"/>
          <w:bCs/>
          <w:color w:val="auto"/>
          <w:szCs w:val="21"/>
          <w:highlight w:val="none"/>
        </w:rPr>
        <w:t>。</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 质量标准：符合国家《建设工程施工质量验收统一标准》（GB50300-2001）以及配套的相关工程质量验收规范的合格等级，且项目完成后的室内空气质量通过国家专业权威机构检测各项指标必须达到合格标准。</w:t>
      </w:r>
      <w:bookmarkStart w:id="52" w:name="_Toc225336550"/>
    </w:p>
    <w:p>
      <w:pPr>
        <w:adjustRightInd w:val="0"/>
        <w:snapToGrid w:val="0"/>
        <w:spacing w:line="440" w:lineRule="exact"/>
        <w:ind w:right="21" w:rightChars="10"/>
        <w:rPr>
          <w:rFonts w:ascii="宋体" w:hAnsi="宋体" w:cs="宋体"/>
          <w:b/>
          <w:color w:val="auto"/>
          <w:szCs w:val="21"/>
          <w:highlight w:val="none"/>
        </w:rPr>
      </w:pPr>
      <w:bookmarkStart w:id="53" w:name="_Toc11685"/>
      <w:bookmarkStart w:id="54" w:name="_Toc7329"/>
      <w:bookmarkStart w:id="55" w:name="_Toc2964"/>
      <w:r>
        <w:rPr>
          <w:rFonts w:hint="eastAsia" w:ascii="宋体" w:hAnsi="宋体" w:cs="宋体"/>
          <w:b/>
          <w:color w:val="auto"/>
          <w:szCs w:val="21"/>
          <w:highlight w:val="none"/>
        </w:rPr>
        <w:t>（六）项目实施要求</w:t>
      </w:r>
      <w:bookmarkEnd w:id="52"/>
      <w:bookmarkEnd w:id="53"/>
      <w:bookmarkEnd w:id="54"/>
      <w:bookmarkEnd w:id="55"/>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rPr>
        <w:tab/>
      </w:r>
      <w:r>
        <w:rPr>
          <w:rFonts w:hint="eastAsia" w:ascii="宋体" w:hAnsi="宋体" w:cs="宋体"/>
          <w:b/>
          <w:bCs/>
          <w:color w:val="auto"/>
          <w:szCs w:val="21"/>
          <w:highlight w:val="none"/>
        </w:rPr>
        <w:t>建筑材料运输、保管及保险</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bCs/>
          <w:color w:val="auto"/>
          <w:szCs w:val="21"/>
          <w:highlight w:val="none"/>
        </w:rPr>
        <w:tab/>
      </w:r>
      <w:r>
        <w:rPr>
          <w:rFonts w:hint="eastAsia" w:ascii="宋体" w:hAnsi="宋体" w:cs="宋体"/>
          <w:bCs/>
          <w:color w:val="auto"/>
          <w:szCs w:val="21"/>
          <w:highlight w:val="none"/>
        </w:rPr>
        <w:t>成交供应商负责建筑材料到施工地点的全部运输，包括装卸及现场搬运等。</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1.2</w:t>
      </w:r>
      <w:r>
        <w:rPr>
          <w:rFonts w:hint="eastAsia" w:ascii="宋体" w:hAnsi="宋体" w:cs="宋体"/>
          <w:bCs/>
          <w:color w:val="auto"/>
          <w:szCs w:val="21"/>
          <w:highlight w:val="none"/>
        </w:rPr>
        <w:tab/>
      </w:r>
      <w:r>
        <w:rPr>
          <w:rFonts w:hint="eastAsia" w:ascii="宋体" w:hAnsi="宋体" w:cs="宋体"/>
          <w:bCs/>
          <w:color w:val="auto"/>
          <w:szCs w:val="21"/>
          <w:highlight w:val="none"/>
        </w:rPr>
        <w:t>成交供应商负责建筑材料在施工地点的保管，直至项目验收合格。</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1.3</w:t>
      </w:r>
      <w:r>
        <w:rPr>
          <w:rFonts w:hint="eastAsia" w:ascii="宋体" w:hAnsi="宋体" w:cs="宋体"/>
          <w:bCs/>
          <w:color w:val="auto"/>
          <w:szCs w:val="21"/>
          <w:highlight w:val="none"/>
        </w:rPr>
        <w:tab/>
      </w:r>
      <w:r>
        <w:rPr>
          <w:rFonts w:hint="eastAsia" w:ascii="宋体" w:hAnsi="宋体" w:cs="宋体"/>
          <w:bCs/>
          <w:color w:val="auto"/>
          <w:szCs w:val="21"/>
          <w:highlight w:val="none"/>
        </w:rPr>
        <w:t>成交供应商负责其派出的施工人员的人身意外保险。</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rPr>
        <w:tab/>
      </w:r>
      <w:r>
        <w:rPr>
          <w:rFonts w:hint="eastAsia" w:ascii="宋体" w:hAnsi="宋体" w:cs="宋体"/>
          <w:b/>
          <w:bCs/>
          <w:color w:val="auto"/>
          <w:szCs w:val="21"/>
          <w:highlight w:val="none"/>
        </w:rPr>
        <w:t>施工要求</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rPr>
        <w:tab/>
      </w:r>
      <w:r>
        <w:rPr>
          <w:rFonts w:hint="eastAsia" w:ascii="宋体" w:hAnsi="宋体" w:cs="宋体"/>
          <w:bCs/>
          <w:color w:val="auto"/>
          <w:szCs w:val="21"/>
          <w:highlight w:val="none"/>
        </w:rPr>
        <w:t>成交供应商须加强施工的组织管理，所有施工人员须遵守文明安全施工的有关规章制度，持证上岗。</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w:t>
      </w:r>
      <w:r>
        <w:rPr>
          <w:rFonts w:hint="eastAsia" w:ascii="宋体" w:hAnsi="宋体" w:cs="宋体"/>
          <w:b/>
          <w:bCs/>
          <w:color w:val="auto"/>
          <w:szCs w:val="21"/>
          <w:highlight w:val="none"/>
        </w:rPr>
        <w:tab/>
      </w:r>
      <w:r>
        <w:rPr>
          <w:rFonts w:hint="eastAsia" w:ascii="宋体" w:hAnsi="宋体" w:cs="宋体"/>
          <w:b/>
          <w:bCs/>
          <w:color w:val="auto"/>
          <w:szCs w:val="21"/>
          <w:highlight w:val="none"/>
        </w:rPr>
        <w:t>验收要求</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3.1</w:t>
      </w:r>
      <w:r>
        <w:rPr>
          <w:rFonts w:hint="eastAsia" w:ascii="宋体" w:hAnsi="宋体" w:cs="宋体"/>
          <w:bCs/>
          <w:color w:val="auto"/>
          <w:szCs w:val="21"/>
          <w:highlight w:val="none"/>
        </w:rPr>
        <w:tab/>
      </w:r>
      <w:r>
        <w:rPr>
          <w:rFonts w:hint="eastAsia" w:ascii="宋体" w:hAnsi="宋体" w:cs="宋体"/>
          <w:bCs/>
          <w:color w:val="auto"/>
          <w:szCs w:val="21"/>
          <w:highlight w:val="none"/>
        </w:rPr>
        <w:t>由采购人组织验收活动，成交供应商负责在当地建设行政主管部门办理工程竣工验收备案（如需要）。</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w:t>
      </w:r>
      <w:r>
        <w:rPr>
          <w:rFonts w:hint="eastAsia" w:ascii="宋体" w:hAnsi="宋体" w:cs="宋体"/>
          <w:b/>
          <w:bCs/>
          <w:color w:val="auto"/>
          <w:szCs w:val="21"/>
          <w:highlight w:val="none"/>
        </w:rPr>
        <w:tab/>
      </w:r>
      <w:r>
        <w:rPr>
          <w:rFonts w:hint="eastAsia" w:ascii="宋体" w:hAnsi="宋体" w:cs="宋体"/>
          <w:b/>
          <w:bCs/>
          <w:color w:val="auto"/>
          <w:szCs w:val="21"/>
          <w:highlight w:val="none"/>
        </w:rPr>
        <w:t>质量保证</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4.1 本工程质量符合《工程施工质量验收规范》要求验收合格。</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4.2 施工期间，应接受采购人及监理工程师的监督管理，遵守有关规定。</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4.3 质量保修：执行建设部[2000]80号令规定的保修内容及期限，保修期间进场维修，保证无偿修理完好，否则，由采购人安排维修，维修费在保修预留金中双倍扣除。</w:t>
      </w:r>
      <w:bookmarkStart w:id="56" w:name="_Toc225336551"/>
    </w:p>
    <w:p>
      <w:pPr>
        <w:adjustRightInd w:val="0"/>
        <w:snapToGrid w:val="0"/>
        <w:spacing w:line="440" w:lineRule="exact"/>
        <w:ind w:right="21" w:rightChars="10"/>
        <w:rPr>
          <w:rFonts w:ascii="宋体" w:hAnsi="宋体" w:cs="宋体"/>
          <w:b/>
          <w:bCs/>
          <w:color w:val="auto"/>
          <w:szCs w:val="21"/>
          <w:highlight w:val="none"/>
        </w:rPr>
      </w:pPr>
      <w:r>
        <w:rPr>
          <w:rFonts w:hint="eastAsia" w:ascii="宋体" w:hAnsi="宋体" w:cs="宋体"/>
          <w:b/>
          <w:bCs/>
          <w:color w:val="auto"/>
          <w:szCs w:val="21"/>
          <w:highlight w:val="none"/>
        </w:rPr>
        <w:t xml:space="preserve">    5. 承包方式</w:t>
      </w:r>
    </w:p>
    <w:p>
      <w:pPr>
        <w:adjustRightInd w:val="0"/>
        <w:snapToGrid w:val="0"/>
        <w:spacing w:line="440" w:lineRule="exact"/>
        <w:ind w:right="21" w:rightChars="10"/>
        <w:rPr>
          <w:rFonts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cs="宋体"/>
          <w:bCs/>
          <w:color w:val="auto"/>
          <w:szCs w:val="21"/>
          <w:highlight w:val="none"/>
        </w:rPr>
        <w:t xml:space="preserve">  包工包料、包质量、包安全、包施工措施、文明措施、施工保险、垃圾的清理外运等。</w:t>
      </w:r>
    </w:p>
    <w:p>
      <w:pPr>
        <w:adjustRightInd w:val="0"/>
        <w:snapToGrid w:val="0"/>
        <w:spacing w:line="440" w:lineRule="exact"/>
        <w:ind w:right="21" w:rightChars="10"/>
        <w:rPr>
          <w:rFonts w:ascii="宋体" w:hAnsi="宋体" w:cs="宋体"/>
          <w:b/>
          <w:color w:val="auto"/>
          <w:szCs w:val="21"/>
          <w:highlight w:val="none"/>
        </w:rPr>
      </w:pPr>
      <w:bookmarkStart w:id="57" w:name="_Toc16723"/>
      <w:bookmarkStart w:id="58" w:name="_Toc5163"/>
      <w:bookmarkStart w:id="59" w:name="_Toc7394"/>
      <w:r>
        <w:rPr>
          <w:rFonts w:hint="eastAsia" w:ascii="宋体" w:hAnsi="宋体" w:cs="宋体"/>
          <w:b/>
          <w:color w:val="auto"/>
          <w:szCs w:val="21"/>
          <w:highlight w:val="none"/>
        </w:rPr>
        <w:t>（七）项目特别说明</w:t>
      </w:r>
      <w:bookmarkEnd w:id="56"/>
      <w:bookmarkEnd w:id="57"/>
      <w:bookmarkEnd w:id="58"/>
      <w:bookmarkEnd w:id="59"/>
    </w:p>
    <w:p>
      <w:pPr>
        <w:adjustRightInd w:val="0"/>
        <w:snapToGrid w:val="0"/>
        <w:spacing w:line="440" w:lineRule="exact"/>
        <w:ind w:right="21" w:rightChars="10" w:firstLine="422" w:firstLineChars="200"/>
        <w:rPr>
          <w:rFonts w:ascii="宋体" w:hAnsi="宋体" w:cs="宋体"/>
          <w:b/>
          <w:color w:val="auto"/>
          <w:szCs w:val="21"/>
          <w:highlight w:val="none"/>
        </w:rPr>
      </w:pPr>
      <w:r>
        <w:rPr>
          <w:rFonts w:hint="eastAsia" w:ascii="宋体" w:hAnsi="宋体" w:cs="宋体"/>
          <w:b/>
          <w:bCs/>
          <w:color w:val="auto"/>
          <w:szCs w:val="21"/>
          <w:highlight w:val="none"/>
        </w:rPr>
        <w:t>1．实</w:t>
      </w:r>
      <w:r>
        <w:rPr>
          <w:rFonts w:hint="eastAsia" w:ascii="宋体" w:hAnsi="宋体" w:cs="宋体"/>
          <w:b/>
          <w:color w:val="auto"/>
          <w:szCs w:val="21"/>
          <w:highlight w:val="none"/>
        </w:rPr>
        <w:t>施时间及地点</w:t>
      </w:r>
    </w:p>
    <w:p>
      <w:pPr>
        <w:adjustRightInd w:val="0"/>
        <w:snapToGrid w:val="0"/>
        <w:spacing w:line="440" w:lineRule="exact"/>
        <w:ind w:right="21" w:rightChars="10" w:firstLine="420" w:firstLineChars="200"/>
        <w:rPr>
          <w:rFonts w:ascii="宋体" w:hAnsi="宋体" w:cs="宋体"/>
          <w:color w:val="auto"/>
          <w:szCs w:val="21"/>
          <w:highlight w:val="none"/>
        </w:rPr>
      </w:pPr>
      <w:r>
        <w:rPr>
          <w:rFonts w:hint="eastAsia" w:ascii="宋体" w:hAnsi="宋体" w:cs="宋体"/>
          <w:color w:val="auto"/>
          <w:szCs w:val="21"/>
          <w:highlight w:val="none"/>
        </w:rPr>
        <w:t>1.1 实施时间：请供应商根据自己情况报出最快的时间安排。</w:t>
      </w:r>
    </w:p>
    <w:p>
      <w:pPr>
        <w:adjustRightInd w:val="0"/>
        <w:snapToGrid w:val="0"/>
        <w:spacing w:line="440" w:lineRule="exact"/>
        <w:ind w:right="21" w:rightChars="10" w:firstLine="420" w:firstLineChars="200"/>
        <w:rPr>
          <w:rFonts w:ascii="宋体" w:hAnsi="宋体" w:cs="宋体"/>
          <w:color w:val="auto"/>
          <w:szCs w:val="21"/>
          <w:highlight w:val="none"/>
        </w:rPr>
      </w:pPr>
      <w:r>
        <w:rPr>
          <w:rFonts w:hint="eastAsia" w:ascii="宋体" w:hAnsi="宋体" w:cs="宋体"/>
          <w:color w:val="auto"/>
          <w:szCs w:val="21"/>
          <w:highlight w:val="none"/>
        </w:rPr>
        <w:t>1.2 实施地点：保险职业学院。</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2．结算方法</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2.1 付 款 人：保险职业学院。</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2.2 付款方式：详见“采购合同专用条款”。</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2.3 本项目成交金额不能作为总价包干依据，最终结算价以采购人委托的第三方审计公司审核的为准。供应商应根据项目要求和现场情况，详细列明项目所需的设备、材料以及所有人工、管理、财务等所有费用，如供应商遗漏竞争性谈判文件中所列工程量清单内容，均由供应商自负，付款人不再支付任何费用。</w:t>
      </w:r>
    </w:p>
    <w:p>
      <w:pPr>
        <w:adjustRightInd w:val="0"/>
        <w:snapToGrid w:val="0"/>
        <w:spacing w:line="440" w:lineRule="exact"/>
        <w:ind w:right="21" w:rightChars="10" w:firstLine="420" w:firstLineChars="200"/>
        <w:rPr>
          <w:rFonts w:ascii="宋体" w:hAnsi="宋体" w:cs="宋体"/>
          <w:b/>
          <w:bCs/>
          <w:color w:val="auto"/>
          <w:szCs w:val="21"/>
          <w:highlight w:val="none"/>
        </w:rPr>
      </w:pPr>
      <w:r>
        <w:rPr>
          <w:rFonts w:hint="eastAsia" w:ascii="宋体" w:hAnsi="宋体" w:cs="宋体"/>
          <w:bCs/>
          <w:color w:val="auto"/>
          <w:szCs w:val="21"/>
          <w:highlight w:val="none"/>
        </w:rPr>
        <w:t xml:space="preserve">2.4 </w:t>
      </w:r>
      <w:r>
        <w:rPr>
          <w:rFonts w:hint="eastAsia" w:ascii="宋体" w:hAnsi="宋体" w:cs="宋体"/>
          <w:color w:val="auto"/>
          <w:szCs w:val="21"/>
          <w:highlight w:val="none"/>
        </w:rPr>
        <w:t>工程变更</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2.4.1 采用暂估价形式的专业工程和材料、设备，以暂估价作为上限值，由采购人和成交供应商共同选择供应商，价格经采购人和第三方审计公司审定确认后，取代暂估价，调整合同价款。</w:t>
      </w:r>
    </w:p>
    <w:p>
      <w:pPr>
        <w:adjustRightInd w:val="0"/>
        <w:snapToGrid w:val="0"/>
        <w:spacing w:line="440" w:lineRule="exact"/>
        <w:ind w:right="21" w:rightChars="10" w:firstLine="420" w:firstLineChars="200"/>
        <w:rPr>
          <w:rFonts w:ascii="宋体" w:hAnsi="宋体" w:cs="宋体"/>
          <w:bCs/>
          <w:color w:val="auto"/>
          <w:spacing w:val="-4"/>
          <w:szCs w:val="21"/>
          <w:highlight w:val="none"/>
        </w:rPr>
      </w:pPr>
      <w:r>
        <w:rPr>
          <w:rFonts w:hint="eastAsia" w:ascii="宋体" w:hAnsi="宋体" w:cs="宋体"/>
          <w:bCs/>
          <w:color w:val="auto"/>
          <w:szCs w:val="21"/>
          <w:highlight w:val="none"/>
        </w:rPr>
        <w:t xml:space="preserve">2.4.2 </w:t>
      </w:r>
      <w:r>
        <w:rPr>
          <w:rFonts w:hint="eastAsia" w:ascii="宋体" w:hAnsi="宋体" w:cs="宋体"/>
          <w:bCs/>
          <w:color w:val="auto"/>
          <w:spacing w:val="-4"/>
          <w:szCs w:val="21"/>
          <w:highlight w:val="none"/>
        </w:rPr>
        <w:t>当发生工程变更、工程量增减时，由采购人、</w:t>
      </w:r>
      <w:r>
        <w:rPr>
          <w:rFonts w:hint="eastAsia" w:ascii="宋体" w:hAnsi="宋体" w:cs="宋体"/>
          <w:bCs/>
          <w:color w:val="auto"/>
          <w:szCs w:val="21"/>
          <w:highlight w:val="none"/>
        </w:rPr>
        <w:t>第三方审计公司</w:t>
      </w:r>
      <w:r>
        <w:rPr>
          <w:rFonts w:hint="eastAsia" w:ascii="宋体" w:hAnsi="宋体" w:cs="宋体"/>
          <w:bCs/>
          <w:color w:val="auto"/>
          <w:spacing w:val="-4"/>
          <w:szCs w:val="21"/>
          <w:highlight w:val="none"/>
        </w:rPr>
        <w:t>进行初审，报有关部门审定备案。</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 工程竣工结算</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工程竣工后双方应及时办理工程结算，成交供应商应积极配合；工程款最终须待项目完工后，由采购人委托的第三方审计公司进行结算审计，未办理完结算审计不支付工程尾款，并不计算利息。工程竣工验收后，成交供应商应在30天内提交完整齐备的工程竣工资料和验收资料装整成册交采购人四套存档，并必须保证所有归档资料的真实性。</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 工程保修</w:t>
      </w:r>
    </w:p>
    <w:p>
      <w:pPr>
        <w:adjustRightInd w:val="0"/>
        <w:snapToGrid w:val="0"/>
        <w:spacing w:line="440" w:lineRule="exact"/>
        <w:ind w:right="21" w:rightChars="10" w:firstLine="420" w:firstLineChars="200"/>
        <w:rPr>
          <w:rFonts w:ascii="宋体" w:hAnsi="宋体" w:cs="宋体"/>
          <w:bCs/>
          <w:color w:val="auto"/>
          <w:szCs w:val="21"/>
          <w:highlight w:val="none"/>
        </w:rPr>
      </w:pPr>
      <w:r>
        <w:rPr>
          <w:rFonts w:hint="eastAsia" w:ascii="宋体" w:hAnsi="宋体" w:cs="宋体"/>
          <w:bCs/>
          <w:color w:val="auto"/>
          <w:szCs w:val="21"/>
          <w:highlight w:val="none"/>
        </w:rPr>
        <w:t>按建设部[2000]80号令规定保修内容及期限，由成交供应商承担其责任与义务。保修金额为合同总价的3%。</w:t>
      </w:r>
    </w:p>
    <w:p>
      <w:pPr>
        <w:numPr>
          <w:ilvl w:val="255"/>
          <w:numId w:val="0"/>
        </w:num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 争议的解决</w:t>
      </w:r>
    </w:p>
    <w:p>
      <w:pPr>
        <w:adjustRightInd w:val="0"/>
        <w:snapToGrid w:val="0"/>
        <w:spacing w:line="440" w:lineRule="exact"/>
        <w:ind w:right="21" w:rightChars="10" w:firstLine="420"/>
        <w:rPr>
          <w:rFonts w:ascii="宋体" w:hAnsi="宋体" w:cs="宋体"/>
          <w:bCs/>
          <w:color w:val="auto"/>
          <w:szCs w:val="21"/>
          <w:highlight w:val="none"/>
        </w:rPr>
      </w:pPr>
      <w:r>
        <w:rPr>
          <w:rFonts w:hint="eastAsia" w:ascii="宋体" w:hAnsi="宋体" w:cs="宋体"/>
          <w:bCs/>
          <w:color w:val="auto"/>
          <w:szCs w:val="21"/>
          <w:highlight w:val="none"/>
        </w:rPr>
        <w:t>本项目合同在履行过程中发生争议，双方应及时协商解决，协商不成时，双方同意由长沙市建设工程仲裁委员会仲裁。</w:t>
      </w:r>
    </w:p>
    <w:p>
      <w:pPr>
        <w:adjustRightInd w:val="0"/>
        <w:snapToGrid w:val="0"/>
        <w:spacing w:line="440" w:lineRule="exact"/>
        <w:ind w:right="21" w:rightChars="1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  对于上述项目要求，供应商应在响应文件中进行回应，作出承诺及说明。</w:t>
      </w:r>
    </w:p>
    <w:p>
      <w:pPr>
        <w:adjustRightInd w:val="0"/>
        <w:snapToGrid w:val="0"/>
        <w:spacing w:line="440" w:lineRule="exact"/>
        <w:jc w:val="left"/>
        <w:rPr>
          <w:rFonts w:ascii="宋体" w:hAnsi="宋体" w:cs="宋体"/>
          <w:b/>
          <w:color w:val="auto"/>
          <w:kern w:val="0"/>
          <w:szCs w:val="21"/>
          <w:highlight w:val="none"/>
        </w:rPr>
      </w:pPr>
      <w:r>
        <w:rPr>
          <w:rFonts w:hint="eastAsia" w:ascii="宋体" w:hAnsi="宋体" w:cs="宋体"/>
          <w:b/>
          <w:color w:val="auto"/>
          <w:kern w:val="0"/>
          <w:sz w:val="20"/>
          <w:szCs w:val="20"/>
          <w:highlight w:val="none"/>
        </w:rPr>
        <w:t xml:space="preserve"> </w:t>
      </w:r>
      <w:r>
        <w:rPr>
          <w:rFonts w:hint="eastAsia" w:ascii="宋体" w:hAnsi="宋体" w:cs="宋体"/>
          <w:b/>
          <w:color w:val="auto"/>
          <w:kern w:val="0"/>
          <w:szCs w:val="21"/>
          <w:highlight w:val="none"/>
        </w:rPr>
        <w:t xml:space="preserve">  </w:t>
      </w:r>
    </w:p>
    <w:p>
      <w:pPr>
        <w:adjustRightInd w:val="0"/>
        <w:snapToGrid w:val="0"/>
        <w:spacing w:line="440" w:lineRule="exact"/>
        <w:jc w:val="left"/>
        <w:rPr>
          <w:rFonts w:ascii="宋体" w:hAnsi="宋体" w:cs="宋体"/>
          <w:b/>
          <w:color w:val="auto"/>
          <w:kern w:val="0"/>
          <w:szCs w:val="21"/>
          <w:highlight w:val="none"/>
        </w:rPr>
      </w:pPr>
    </w:p>
    <w:p>
      <w:pPr>
        <w:adjustRightInd w:val="0"/>
        <w:snapToGrid w:val="0"/>
        <w:spacing w:line="440" w:lineRule="exact"/>
        <w:jc w:val="left"/>
        <w:rPr>
          <w:rFonts w:ascii="宋体" w:hAnsi="宋体" w:cs="宋体"/>
          <w:color w:val="auto"/>
          <w:highlight w:val="none"/>
        </w:rPr>
      </w:pPr>
      <w:r>
        <w:rPr>
          <w:rFonts w:hint="eastAsia" w:ascii="宋体" w:hAnsi="宋体" w:cs="宋体"/>
          <w:b/>
          <w:color w:val="auto"/>
          <w:kern w:val="0"/>
          <w:szCs w:val="21"/>
          <w:highlight w:val="none"/>
        </w:rPr>
        <w:t xml:space="preserve"> 注：本项目以上技术、服务、合同条款等，在谈判过程中均可能产生实质性变动。</w:t>
      </w:r>
    </w:p>
    <w:bookmarkEnd w:id="41"/>
    <w:p>
      <w:pPr>
        <w:pStyle w:val="40"/>
        <w:rPr>
          <w:color w:val="auto"/>
          <w:highlight w:val="none"/>
        </w:rPr>
      </w:pPr>
    </w:p>
    <w:p>
      <w:pPr>
        <w:jc w:val="center"/>
        <w:outlineLvl w:val="0"/>
        <w:rPr>
          <w:rFonts w:ascii="黑体" w:hAnsi="黑体" w:eastAsia="黑体"/>
          <w:b/>
          <w:color w:val="auto"/>
          <w:sz w:val="36"/>
          <w:szCs w:val="36"/>
          <w:highlight w:val="none"/>
        </w:rPr>
      </w:pPr>
      <w:bookmarkStart w:id="60" w:name="_Toc27721"/>
      <w:r>
        <w:rPr>
          <w:rFonts w:hint="eastAsia" w:ascii="黑体" w:hAnsi="黑体" w:eastAsia="黑体"/>
          <w:b/>
          <w:color w:val="auto"/>
          <w:sz w:val="36"/>
          <w:szCs w:val="36"/>
          <w:highlight w:val="none"/>
        </w:rPr>
        <w:t>四、采购合同</w:t>
      </w:r>
      <w:bookmarkEnd w:id="60"/>
    </w:p>
    <w:p>
      <w:pPr>
        <w:pStyle w:val="16"/>
        <w:ind w:firstLine="420" w:firstLineChars="200"/>
        <w:jc w:val="center"/>
        <w:rPr>
          <w:rFonts w:hAnsi="宋体"/>
          <w:color w:val="auto"/>
          <w:highlight w:val="none"/>
        </w:rPr>
      </w:pPr>
    </w:p>
    <w:p>
      <w:pPr>
        <w:pStyle w:val="16"/>
        <w:ind w:firstLine="420" w:firstLineChars="200"/>
        <w:jc w:val="center"/>
        <w:rPr>
          <w:rFonts w:hAnsi="宋体"/>
          <w:color w:val="auto"/>
          <w:highlight w:val="none"/>
        </w:rPr>
      </w:pPr>
    </w:p>
    <w:p>
      <w:pPr>
        <w:pStyle w:val="16"/>
        <w:ind w:firstLine="420" w:firstLineChars="200"/>
        <w:jc w:val="center"/>
        <w:rPr>
          <w:rFonts w:hAnsi="宋体"/>
          <w:color w:val="auto"/>
          <w:highlight w:val="none"/>
        </w:rPr>
      </w:pPr>
    </w:p>
    <w:p>
      <w:pPr>
        <w:pStyle w:val="16"/>
        <w:ind w:firstLine="420" w:firstLineChars="200"/>
        <w:jc w:val="center"/>
        <w:rPr>
          <w:rFonts w:hAnsi="宋体"/>
          <w:color w:val="auto"/>
          <w:highlight w:val="none"/>
        </w:rPr>
      </w:pPr>
    </w:p>
    <w:p>
      <w:pPr>
        <w:pStyle w:val="16"/>
        <w:ind w:firstLine="420" w:firstLineChars="200"/>
        <w:jc w:val="center"/>
        <w:rPr>
          <w:rFonts w:hAnsi="宋体"/>
          <w:color w:val="auto"/>
          <w:highlight w:val="none"/>
        </w:rPr>
      </w:pPr>
    </w:p>
    <w:p>
      <w:pPr>
        <w:pStyle w:val="16"/>
        <w:ind w:firstLine="420" w:firstLineChars="200"/>
        <w:jc w:val="center"/>
        <w:rPr>
          <w:rFonts w:hAnsi="宋体"/>
          <w:color w:val="auto"/>
          <w:highlight w:val="none"/>
        </w:rPr>
      </w:pPr>
    </w:p>
    <w:p>
      <w:pPr>
        <w:pStyle w:val="16"/>
        <w:ind w:firstLine="420" w:firstLineChars="200"/>
        <w:jc w:val="center"/>
        <w:rPr>
          <w:rFonts w:hAnsi="宋体" w:cs="MingLiU_HKSCS"/>
          <w:color w:val="auto"/>
          <w:highlight w:val="none"/>
        </w:rPr>
      </w:pPr>
      <w:r>
        <w:rPr>
          <w:rFonts w:hAnsi="宋体"/>
          <w:color w:val="auto"/>
          <w:highlight w:val="none"/>
        </w:rPr>
        <w:t>_____________</w:t>
      </w:r>
      <w:r>
        <w:rPr>
          <w:rFonts w:hint="eastAsia" w:hAnsi="宋体"/>
          <w:color w:val="auto"/>
          <w:highlight w:val="none"/>
        </w:rPr>
        <w:t>项目</w:t>
      </w:r>
    </w:p>
    <w:p>
      <w:pPr>
        <w:pStyle w:val="16"/>
        <w:ind w:firstLine="420" w:firstLineChars="200"/>
        <w:jc w:val="center"/>
        <w:rPr>
          <w:rFonts w:hAnsi="宋体" w:cs="MingLiU_HKSCS"/>
          <w:color w:val="auto"/>
          <w:highlight w:val="none"/>
        </w:rPr>
      </w:pPr>
    </w:p>
    <w:p>
      <w:pPr>
        <w:pStyle w:val="16"/>
        <w:ind w:firstLine="420" w:firstLineChars="200"/>
        <w:jc w:val="center"/>
        <w:rPr>
          <w:rFonts w:hAnsi="宋体" w:cs="MingLiU_HKSCS"/>
          <w:color w:val="auto"/>
          <w:highlight w:val="none"/>
        </w:rPr>
      </w:pPr>
    </w:p>
    <w:p>
      <w:pPr>
        <w:pStyle w:val="16"/>
        <w:ind w:firstLine="420" w:firstLineChars="200"/>
        <w:jc w:val="center"/>
        <w:rPr>
          <w:rFonts w:hAnsi="宋体" w:cs="MingLiU_HKSCS"/>
          <w:color w:val="auto"/>
          <w:highlight w:val="none"/>
        </w:rPr>
      </w:pPr>
    </w:p>
    <w:p>
      <w:pPr>
        <w:pStyle w:val="16"/>
        <w:ind w:firstLine="420" w:firstLineChars="200"/>
        <w:jc w:val="center"/>
        <w:rPr>
          <w:rFonts w:hAnsi="宋体" w:cs="MingLiU_HKSCS"/>
          <w:color w:val="auto"/>
          <w:highlight w:val="none"/>
        </w:rPr>
      </w:pPr>
    </w:p>
    <w:p>
      <w:pPr>
        <w:pStyle w:val="16"/>
        <w:rPr>
          <w:rFonts w:hAnsi="宋体" w:cs="MingLiU_HKSCS"/>
          <w:color w:val="auto"/>
          <w:highlight w:val="none"/>
        </w:rPr>
      </w:pPr>
    </w:p>
    <w:p>
      <w:pPr>
        <w:jc w:val="center"/>
        <w:rPr>
          <w:rFonts w:ascii="宋体"/>
          <w:color w:val="auto"/>
          <w:highlight w:val="none"/>
        </w:rPr>
      </w:pPr>
      <w:bookmarkStart w:id="61" w:name="_Toc28160"/>
      <w:bookmarkStart w:id="62" w:name="_Toc466466524"/>
      <w:bookmarkStart w:id="63" w:name="_Toc466454880"/>
      <w:bookmarkStart w:id="64" w:name="_Toc465257621"/>
      <w:bookmarkStart w:id="65" w:name="_Toc30211"/>
      <w:r>
        <w:rPr>
          <w:rFonts w:hint="eastAsia" w:ascii="宋体" w:hAnsi="宋体"/>
          <w:color w:val="auto"/>
          <w:highlight w:val="none"/>
        </w:rPr>
        <w:t>合　　同</w:t>
      </w:r>
      <w:bookmarkEnd w:id="61"/>
      <w:bookmarkEnd w:id="62"/>
      <w:bookmarkEnd w:id="63"/>
      <w:bookmarkEnd w:id="64"/>
      <w:bookmarkEnd w:id="65"/>
    </w:p>
    <w:p>
      <w:pPr>
        <w:pStyle w:val="16"/>
        <w:ind w:firstLine="420" w:firstLineChars="200"/>
        <w:rPr>
          <w:rFonts w:hAnsi="宋体" w:cs="MingLiU_HKSCS"/>
          <w:color w:val="auto"/>
          <w:highlight w:val="none"/>
        </w:rPr>
      </w:pPr>
    </w:p>
    <w:p>
      <w:pPr>
        <w:pStyle w:val="16"/>
        <w:ind w:firstLine="420" w:firstLineChars="200"/>
        <w:rPr>
          <w:rFonts w:hAnsi="宋体" w:cs="MingLiU_HKSCS"/>
          <w:color w:val="auto"/>
          <w:highlight w:val="none"/>
        </w:rPr>
      </w:pPr>
    </w:p>
    <w:p>
      <w:pPr>
        <w:pStyle w:val="16"/>
        <w:rPr>
          <w:rFonts w:hAnsi="宋体" w:cs="MingLiU_HKSCS"/>
          <w:color w:val="auto"/>
          <w:highlight w:val="none"/>
        </w:rPr>
      </w:pPr>
    </w:p>
    <w:p>
      <w:pPr>
        <w:pStyle w:val="16"/>
        <w:ind w:firstLine="420" w:firstLineChars="200"/>
        <w:rPr>
          <w:rFonts w:hAnsi="宋体" w:cs="MingLiU_HKSCS"/>
          <w:color w:val="auto"/>
          <w:highlight w:val="none"/>
        </w:rPr>
      </w:pPr>
    </w:p>
    <w:p>
      <w:pPr>
        <w:pStyle w:val="16"/>
        <w:ind w:firstLine="2551" w:firstLineChars="1215"/>
        <w:rPr>
          <w:rFonts w:hAnsi="宋体" w:cs="MingLiU_HKSCS"/>
          <w:color w:val="auto"/>
          <w:highlight w:val="none"/>
        </w:rPr>
      </w:pPr>
      <w:r>
        <w:rPr>
          <w:rFonts w:hint="eastAsia" w:hAnsi="宋体"/>
          <w:color w:val="auto"/>
          <w:highlight w:val="none"/>
        </w:rPr>
        <w:t>合同编号：</w:t>
      </w:r>
      <w:r>
        <w:rPr>
          <w:rFonts w:hAnsi="宋体"/>
          <w:color w:val="auto"/>
          <w:highlight w:val="none"/>
        </w:rPr>
        <w:t>________________</w:t>
      </w:r>
    </w:p>
    <w:p>
      <w:pPr>
        <w:pStyle w:val="16"/>
        <w:ind w:firstLine="2551" w:firstLineChars="1215"/>
        <w:rPr>
          <w:rFonts w:hAnsi="宋体" w:cs="MingLiU_HKSCS"/>
          <w:color w:val="auto"/>
          <w:highlight w:val="none"/>
        </w:rPr>
      </w:pPr>
    </w:p>
    <w:p>
      <w:pPr>
        <w:pStyle w:val="16"/>
        <w:ind w:firstLine="2551" w:firstLineChars="1215"/>
        <w:rPr>
          <w:rFonts w:hAnsi="宋体" w:cs="MingLiU_HKSCS"/>
          <w:color w:val="auto"/>
          <w:highlight w:val="none"/>
        </w:rPr>
      </w:pPr>
      <w:r>
        <w:rPr>
          <w:rFonts w:hint="eastAsia" w:hAnsi="宋体"/>
          <w:color w:val="auto"/>
          <w:highlight w:val="none"/>
        </w:rPr>
        <w:t>甲　　方：</w:t>
      </w:r>
      <w:r>
        <w:rPr>
          <w:rFonts w:hAnsi="宋体"/>
          <w:color w:val="auto"/>
          <w:highlight w:val="none"/>
        </w:rPr>
        <w:t>________________(</w:t>
      </w:r>
      <w:r>
        <w:rPr>
          <w:rFonts w:hint="eastAsia" w:hAnsi="宋体"/>
          <w:color w:val="auto"/>
          <w:highlight w:val="none"/>
        </w:rPr>
        <w:t>采购人名称</w:t>
      </w:r>
      <w:r>
        <w:rPr>
          <w:rFonts w:hAnsi="宋体"/>
          <w:color w:val="auto"/>
          <w:highlight w:val="none"/>
        </w:rPr>
        <w:t>)</w:t>
      </w:r>
    </w:p>
    <w:p>
      <w:pPr>
        <w:pStyle w:val="16"/>
        <w:ind w:firstLine="2551" w:firstLineChars="1215"/>
        <w:rPr>
          <w:rFonts w:hAnsi="宋体" w:cs="MingLiU_HKSCS"/>
          <w:color w:val="auto"/>
          <w:highlight w:val="none"/>
        </w:rPr>
      </w:pPr>
    </w:p>
    <w:p>
      <w:pPr>
        <w:pStyle w:val="16"/>
        <w:ind w:firstLine="2551" w:firstLineChars="1215"/>
        <w:rPr>
          <w:rFonts w:hAnsi="宋体" w:cs="MingLiU_HKSCS"/>
          <w:color w:val="auto"/>
          <w:highlight w:val="none"/>
        </w:rPr>
      </w:pPr>
      <w:r>
        <w:rPr>
          <w:rFonts w:hint="eastAsia" w:hAnsi="宋体"/>
          <w:color w:val="auto"/>
          <w:highlight w:val="none"/>
        </w:rPr>
        <w:t>乙　　方：</w:t>
      </w:r>
      <w:r>
        <w:rPr>
          <w:rFonts w:hAnsi="宋体"/>
          <w:color w:val="auto"/>
          <w:highlight w:val="none"/>
        </w:rPr>
        <w:t>________________(</w:t>
      </w:r>
      <w:r>
        <w:rPr>
          <w:rFonts w:hint="eastAsia" w:hAnsi="宋体"/>
          <w:color w:val="auto"/>
          <w:highlight w:val="none"/>
        </w:rPr>
        <w:t>成交供应商名称</w:t>
      </w:r>
      <w:r>
        <w:rPr>
          <w:rFonts w:hAnsi="宋体"/>
          <w:color w:val="auto"/>
          <w:highlight w:val="none"/>
        </w:rPr>
        <w:t>)</w:t>
      </w:r>
    </w:p>
    <w:p>
      <w:pPr>
        <w:pStyle w:val="16"/>
        <w:ind w:firstLine="2551" w:firstLineChars="1215"/>
        <w:rPr>
          <w:rFonts w:hAnsi="宋体" w:cs="MingLiU_HKSCS"/>
          <w:color w:val="auto"/>
          <w:highlight w:val="none"/>
        </w:rPr>
      </w:pPr>
    </w:p>
    <w:p>
      <w:pPr>
        <w:pStyle w:val="16"/>
        <w:ind w:firstLine="2551" w:firstLineChars="1215"/>
        <w:rPr>
          <w:rFonts w:hAnsi="宋体"/>
          <w:b/>
          <w:color w:val="auto"/>
          <w:highlight w:val="none"/>
        </w:rPr>
        <w:sectPr>
          <w:footerReference r:id="rId15" w:type="first"/>
          <w:footerReference r:id="rId14" w:type="default"/>
          <w:pgSz w:w="11906" w:h="16838"/>
          <w:pgMar w:top="1134" w:right="1134" w:bottom="1134" w:left="1134" w:header="851" w:footer="850" w:gutter="0"/>
          <w:cols w:space="0" w:num="1"/>
          <w:titlePg/>
          <w:docGrid w:type="lines" w:linePitch="312" w:charSpace="0"/>
        </w:sectPr>
      </w:pPr>
      <w:r>
        <w:rPr>
          <w:rFonts w:hint="eastAsia" w:hAnsi="宋体"/>
          <w:color w:val="auto"/>
          <w:highlight w:val="none"/>
        </w:rPr>
        <w:t>日　　期：</w:t>
      </w:r>
      <w:r>
        <w:rPr>
          <w:rFonts w:hAnsi="宋体"/>
          <w:color w:val="auto"/>
          <w:highlight w:val="none"/>
        </w:rPr>
        <w:t>______</w:t>
      </w:r>
      <w:r>
        <w:rPr>
          <w:rFonts w:hint="eastAsia" w:hAnsi="宋体"/>
          <w:color w:val="auto"/>
          <w:highlight w:val="none"/>
        </w:rPr>
        <w:t>年</w:t>
      </w:r>
      <w:r>
        <w:rPr>
          <w:rFonts w:hAnsi="宋体"/>
          <w:color w:val="auto"/>
          <w:highlight w:val="none"/>
        </w:rPr>
        <w:t>______</w:t>
      </w:r>
      <w:r>
        <w:rPr>
          <w:rFonts w:hint="eastAsia" w:hAnsi="宋体"/>
          <w:color w:val="auto"/>
          <w:highlight w:val="none"/>
        </w:rPr>
        <w:t>月</w:t>
      </w:r>
      <w:r>
        <w:rPr>
          <w:rFonts w:hAnsi="宋体"/>
          <w:color w:val="auto"/>
          <w:highlight w:val="none"/>
        </w:rPr>
        <w:t>______</w:t>
      </w:r>
      <w:r>
        <w:rPr>
          <w:rFonts w:hint="eastAsia" w:hAnsi="宋体"/>
          <w:color w:val="auto"/>
          <w:highlight w:val="none"/>
        </w:rPr>
        <w:t>日</w:t>
      </w:r>
    </w:p>
    <w:p>
      <w:pPr>
        <w:adjustRightInd w:val="0"/>
        <w:snapToGrid w:val="0"/>
        <w:spacing w:line="360" w:lineRule="auto"/>
        <w:ind w:firstLine="435"/>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（以下简称甲方）通过竞争性谈判采购确定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（以下简称乙方）为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的供应商。甲乙双方同意签署《</w:t>
      </w:r>
      <w:r>
        <w:rPr>
          <w:rFonts w:hint="eastAsia" w:ascii="宋体" w:hAnsi="宋体" w:cs="宋体"/>
          <w:color w:val="auto"/>
          <w:szCs w:val="21"/>
          <w:highlight w:val="none"/>
          <w:u w:val="single"/>
        </w:rPr>
        <w:t>保险职业学院学生公寓1、2、3栋整栋、学生公寓9栋13间及部分走道、墙面粉刷工程合同</w:t>
      </w:r>
      <w:r>
        <w:rPr>
          <w:rFonts w:hint="eastAsia" w:ascii="宋体" w:hAnsi="宋体" w:cs="宋体"/>
          <w:color w:val="auto"/>
          <w:szCs w:val="21"/>
          <w:highlight w:val="none"/>
        </w:rPr>
        <w:t>》（合同编号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,以下简称“合同</w:t>
      </w:r>
      <w:r>
        <w:rPr>
          <w:rFonts w:ascii="宋体" w:hAnsi="宋体" w:cs="宋体"/>
          <w:color w:val="auto"/>
          <w:szCs w:val="21"/>
          <w:highlight w:val="none"/>
        </w:rPr>
        <w:t>”</w:t>
      </w:r>
      <w:r>
        <w:rPr>
          <w:rFonts w:hint="eastAsia" w:ascii="宋体" w:hAnsi="宋体" w:cs="宋体"/>
          <w:color w:val="auto"/>
          <w:szCs w:val="21"/>
          <w:highlight w:val="none"/>
        </w:rPr>
        <w:t>）。</w:t>
      </w:r>
      <w:bookmarkStart w:id="66" w:name="_Toc300678222"/>
      <w:bookmarkStart w:id="67" w:name="_Toc7568"/>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一、项目概况</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1.项目名称：</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2.项目地点：</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3.项目立项批准文号：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4.资金来源：</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5.工程内容：</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群体工程应附《承包人承揽工程项目一览表》（附件 1）。</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6.工程承包范围：</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二、合同工期</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日。</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日。</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天。工期总日历天数与根据前述计划开竣工日期计算的工期天数不一致的，以工期总日历天数为准。</w:t>
      </w:r>
    </w:p>
    <w:p>
      <w:pPr>
        <w:adjustRightInd w:val="0"/>
        <w:snapToGrid w:val="0"/>
        <w:spacing w:line="360" w:lineRule="auto"/>
        <w:ind w:firstLine="413" w:firstLineChars="196"/>
        <w:rPr>
          <w:rFonts w:ascii="宋体" w:hAnsi="宋体" w:cs="宋体"/>
          <w:color w:val="auto"/>
          <w:szCs w:val="21"/>
          <w:highlight w:val="none"/>
        </w:rPr>
      </w:pPr>
      <w:r>
        <w:rPr>
          <w:rFonts w:hint="eastAsia" w:ascii="宋体" w:hAnsi="宋体" w:cs="宋体"/>
          <w:b/>
          <w:bCs/>
          <w:color w:val="auto"/>
          <w:szCs w:val="21"/>
          <w:highlight w:val="none"/>
        </w:rPr>
        <w:t>三、质量标准</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 xml:space="preserve">工程质量符合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标准。</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四、签约合同价与合同价格形式</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1.签约合同价为：</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元)； </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其中：</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（1）安全文明施工费：</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元);</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（2）材料和工程设备暂估价金额：</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元)；</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（3）专业工程暂估价金额：</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元);；</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（4）暂列金额：</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ab/>
      </w:r>
      <w:r>
        <w:rPr>
          <w:rFonts w:hint="eastAsia" w:ascii="宋体" w:hAnsi="宋体" w:cs="宋体"/>
          <w:color w:val="auto"/>
          <w:szCs w:val="21"/>
          <w:highlight w:val="none"/>
        </w:rPr>
        <w:t>(¥</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元)。</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2.合同价格形式：</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五、项目经理</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六、合同文件构成</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本协议书与下列文件一起构成合同文件：</w:t>
      </w:r>
    </w:p>
    <w:p>
      <w:pPr>
        <w:adjustRightInd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xml:space="preserve">    1.成交通知书；</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2.投标函及其附录（如果有）；</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3.专用合同条款及其附件；</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4.通用合同条款；</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5.技术标准和要求；</w:t>
      </w:r>
    </w:p>
    <w:p>
      <w:pPr>
        <w:adjustRightInd w:val="0"/>
        <w:snapToGrid w:val="0"/>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6.报价文件</w:t>
      </w:r>
      <w:r>
        <w:rPr>
          <w:rFonts w:hint="eastAsia" w:ascii="宋体" w:hAnsi="宋体" w:cs="宋体"/>
          <w:bCs/>
          <w:color w:val="auto"/>
          <w:szCs w:val="21"/>
          <w:highlight w:val="none"/>
          <w:lang w:eastAsia="zh-CN"/>
        </w:rPr>
        <w:t>；</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7.竞争性谈判文件及响应文件；</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8.其他合同文件。</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七、承诺</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并按照发包人的要求负责本项目的所有报建工作（包括城建、消防&lt;报建、通过消防部门验收等&gt;等），派专人对本工程项目进行报建及办理相关手续，且承担所有相关费用。</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八、词语含义</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 xml:space="preserve">本协议书中词语含义与第二部分通用合同条款中赋予的含义相同。  </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九、签订时间</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本合同于</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日签订。</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十、签订地点</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本合同在</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签订。</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十一、补充协议</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 xml:space="preserve">合同未尽事宜，合同当事人另行签订补充协议，补充协议是合同的组成部分。  </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十二、合同生效</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本合同自</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生效。</w:t>
      </w:r>
    </w:p>
    <w:p>
      <w:pPr>
        <w:adjustRightInd w:val="0"/>
        <w:snapToGrid w:val="0"/>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十三、合同份数</w:t>
      </w:r>
    </w:p>
    <w:p>
      <w:pPr>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本合同一式</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份，均具有同等法律效力，发包人执</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份，承包人执</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份。</w:t>
      </w:r>
    </w:p>
    <w:p>
      <w:pPr>
        <w:adjustRightInd w:val="0"/>
        <w:snapToGrid w:val="0"/>
        <w:spacing w:line="360" w:lineRule="auto"/>
        <w:ind w:firstLine="411" w:firstLineChars="196"/>
        <w:rPr>
          <w:rFonts w:ascii="宋体" w:hAnsi="宋体" w:cs="宋体"/>
          <w:bCs/>
          <w:color w:val="auto"/>
          <w:szCs w:val="21"/>
          <w:highlight w:val="none"/>
        </w:rPr>
      </w:pPr>
      <w:r>
        <w:rPr>
          <w:rFonts w:hint="eastAsia" w:ascii="宋体" w:hAnsi="宋体" w:cs="宋体"/>
          <w:color w:val="auto"/>
          <w:szCs w:val="21"/>
          <w:highlight w:val="none"/>
        </w:rPr>
        <w:tab/>
      </w:r>
      <w:bookmarkEnd w:id="66"/>
      <w:bookmarkEnd w:id="67"/>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发包人：</w:t>
      </w:r>
      <w:r>
        <w:rPr>
          <w:rFonts w:hint="eastAsia" w:ascii="宋体" w:hAnsi="宋体" w:cs="宋体"/>
          <w:bCs/>
          <w:color w:val="auto"/>
          <w:szCs w:val="21"/>
          <w:highlight w:val="none"/>
          <w:u w:val="single"/>
        </w:rPr>
        <w:t xml:space="preserve"> （公章） </w:t>
      </w:r>
      <w:r>
        <w:rPr>
          <w:rFonts w:hint="eastAsia" w:ascii="宋体" w:hAnsi="宋体" w:cs="宋体"/>
          <w:bCs/>
          <w:color w:val="auto"/>
          <w:szCs w:val="21"/>
          <w:highlight w:val="none"/>
        </w:rPr>
        <w:t xml:space="preserve">                     承包人： </w:t>
      </w:r>
      <w:r>
        <w:rPr>
          <w:rFonts w:hint="eastAsia" w:ascii="宋体" w:hAnsi="宋体" w:cs="宋体"/>
          <w:bCs/>
          <w:color w:val="auto"/>
          <w:szCs w:val="21"/>
          <w:highlight w:val="none"/>
          <w:u w:val="single"/>
        </w:rPr>
        <w:t>（公章）</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法定代表人或其委托代理人：             法定代表人或其委托代理人：</w:t>
      </w:r>
    </w:p>
    <w:p>
      <w:pPr>
        <w:adjustRightInd w:val="0"/>
        <w:snapToGrid w:val="0"/>
        <w:spacing w:line="360" w:lineRule="auto"/>
        <w:ind w:firstLine="2520" w:firstLineChars="1200"/>
        <w:rPr>
          <w:rFonts w:ascii="宋体" w:hAnsi="宋体" w:cs="宋体"/>
          <w:bCs/>
          <w:color w:val="auto"/>
          <w:szCs w:val="21"/>
          <w:highlight w:val="none"/>
          <w:u w:val="single"/>
        </w:rPr>
      </w:pPr>
      <w:r>
        <w:rPr>
          <w:rFonts w:hint="eastAsia" w:ascii="宋体" w:hAnsi="宋体" w:cs="宋体"/>
          <w:bCs/>
          <w:color w:val="auto"/>
          <w:szCs w:val="21"/>
          <w:highlight w:val="none"/>
          <w:u w:val="single"/>
        </w:rPr>
        <w:t>（签字）</w:t>
      </w:r>
      <w:r>
        <w:rPr>
          <w:rFonts w:hint="eastAsia" w:ascii="宋体" w:hAnsi="宋体" w:cs="宋体"/>
          <w:bCs/>
          <w:color w:val="auto"/>
          <w:szCs w:val="21"/>
          <w:highlight w:val="none"/>
        </w:rPr>
        <w:t xml:space="preserve">                                  </w:t>
      </w:r>
      <w:r>
        <w:rPr>
          <w:rFonts w:hint="eastAsia" w:ascii="宋体" w:hAnsi="宋体" w:cs="宋体"/>
          <w:bCs/>
          <w:color w:val="auto"/>
          <w:szCs w:val="21"/>
          <w:highlight w:val="none"/>
          <w:u w:val="single"/>
        </w:rPr>
        <w:t xml:space="preserve">  （签字）</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组织机构代码：                          组织机构代码：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地址：                                  地址：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邮政编码：                              邮政编码：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法定代表人：                            法定代表人：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委托代理人：                            委托代理人：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电话：                                  电话：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传真：                                  传真：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电子信箱：                              电子信箱：               </w:t>
      </w:r>
    </w:p>
    <w:p>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开户银行：                              开户银行：               </w:t>
      </w:r>
    </w:p>
    <w:p>
      <w:pPr>
        <w:adjustRightInd w:val="0"/>
        <w:snapToGrid w:val="0"/>
        <w:spacing w:line="360" w:lineRule="auto"/>
        <w:ind w:firstLine="420" w:firstLineChars="200"/>
        <w:rPr>
          <w:rFonts w:ascii="宋体" w:hAnsi="宋体"/>
          <w:bCs/>
          <w:color w:val="auto"/>
          <w:szCs w:val="21"/>
          <w:highlight w:val="none"/>
        </w:rPr>
      </w:pPr>
      <w:r>
        <w:rPr>
          <w:rFonts w:hint="eastAsia" w:ascii="宋体" w:hAnsi="宋体" w:cs="宋体"/>
          <w:bCs/>
          <w:color w:val="auto"/>
          <w:szCs w:val="21"/>
          <w:highlight w:val="none"/>
        </w:rPr>
        <w:t xml:space="preserve">账号：                                  账号：  </w:t>
      </w:r>
      <w:r>
        <w:rPr>
          <w:rFonts w:hint="eastAsia" w:ascii="宋体" w:hAnsi="宋体"/>
          <w:bCs/>
          <w:color w:val="auto"/>
          <w:szCs w:val="21"/>
          <w:highlight w:val="none"/>
        </w:rPr>
        <w:t xml:space="preserve">          </w:t>
      </w:r>
    </w:p>
    <w:p>
      <w:pPr>
        <w:adjustRightInd w:val="0"/>
        <w:snapToGrid w:val="0"/>
        <w:spacing w:line="360" w:lineRule="auto"/>
        <w:ind w:right="23" w:rightChars="11" w:firstLine="420" w:firstLineChars="200"/>
        <w:rPr>
          <w:rFonts w:ascii="宋体" w:hAnsi="宋体"/>
          <w:color w:val="auto"/>
          <w:szCs w:val="21"/>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pStyle w:val="16"/>
        <w:ind w:firstLine="420" w:firstLineChars="200"/>
        <w:rPr>
          <w:rFonts w:hAnsi="宋体" w:cs="宋体"/>
          <w:color w:val="auto"/>
          <w:highlight w:val="none"/>
        </w:rPr>
      </w:pPr>
    </w:p>
    <w:p>
      <w:pPr>
        <w:jc w:val="left"/>
        <w:rPr>
          <w:rFonts w:ascii="宋体" w:hAnsi="宋体" w:cs="宋体"/>
          <w:b/>
          <w:bCs/>
          <w:color w:val="auto"/>
          <w:sz w:val="28"/>
          <w:szCs w:val="28"/>
          <w:highlight w:val="none"/>
        </w:rPr>
      </w:pPr>
    </w:p>
    <w:p>
      <w:pPr>
        <w:pStyle w:val="10"/>
        <w:rPr>
          <w:rFonts w:ascii="宋体" w:hAnsi="宋体" w:cs="宋体"/>
          <w:b/>
          <w:bCs/>
          <w:color w:val="auto"/>
          <w:sz w:val="28"/>
          <w:szCs w:val="28"/>
          <w:highlight w:val="none"/>
        </w:rPr>
      </w:pPr>
    </w:p>
    <w:p>
      <w:pPr>
        <w:rPr>
          <w:rFonts w:ascii="宋体" w:hAnsi="宋体" w:cs="宋体"/>
          <w:b/>
          <w:bCs/>
          <w:color w:val="auto"/>
          <w:sz w:val="28"/>
          <w:szCs w:val="28"/>
          <w:highlight w:val="none"/>
        </w:rPr>
      </w:pPr>
    </w:p>
    <w:p>
      <w:pPr>
        <w:pStyle w:val="10"/>
        <w:rPr>
          <w:rFonts w:ascii="宋体" w:hAnsi="宋体" w:cs="宋体"/>
          <w:b/>
          <w:bCs/>
          <w:color w:val="auto"/>
          <w:sz w:val="28"/>
          <w:szCs w:val="28"/>
          <w:highlight w:val="none"/>
        </w:rPr>
      </w:pPr>
    </w:p>
    <w:p>
      <w:pPr>
        <w:rPr>
          <w:color w:val="auto"/>
          <w:highlight w:val="none"/>
        </w:rPr>
      </w:pPr>
    </w:p>
    <w:p>
      <w:pPr>
        <w:pStyle w:val="10"/>
        <w:rPr>
          <w:rFonts w:ascii="宋体" w:hAnsi="宋体" w:cs="宋体"/>
          <w:b/>
          <w:bCs/>
          <w:color w:val="auto"/>
          <w:sz w:val="28"/>
          <w:szCs w:val="28"/>
          <w:highlight w:val="none"/>
        </w:rPr>
      </w:pPr>
    </w:p>
    <w:p>
      <w:pPr>
        <w:jc w:val="left"/>
        <w:rPr>
          <w:rFonts w:ascii="宋体" w:hAnsi="宋体" w:cs="宋体"/>
          <w:b/>
          <w:bCs/>
          <w:color w:val="auto"/>
          <w:sz w:val="28"/>
          <w:szCs w:val="28"/>
          <w:highlight w:val="none"/>
        </w:rPr>
      </w:pPr>
      <w:bookmarkStart w:id="68" w:name="_Toc17649"/>
      <w:bookmarkStart w:id="69" w:name="_Toc11846"/>
      <w:r>
        <w:rPr>
          <w:rFonts w:hint="eastAsia" w:ascii="宋体" w:hAnsi="宋体" w:cs="宋体"/>
          <w:b/>
          <w:bCs/>
          <w:color w:val="auto"/>
          <w:sz w:val="28"/>
          <w:szCs w:val="28"/>
          <w:highlight w:val="none"/>
        </w:rPr>
        <w:t>二、合同通用条款</w:t>
      </w:r>
      <w:bookmarkEnd w:id="68"/>
      <w:bookmarkEnd w:id="69"/>
    </w:p>
    <w:p>
      <w:pPr>
        <w:tabs>
          <w:tab w:val="left" w:pos="8820"/>
          <w:tab w:val="left" w:pos="9345"/>
          <w:tab w:val="left" w:pos="9765"/>
        </w:tabs>
        <w:adjustRightInd w:val="0"/>
        <w:snapToGrid w:val="0"/>
        <w:spacing w:before="156" w:beforeLines="50" w:line="360" w:lineRule="auto"/>
        <w:ind w:right="384" w:rightChars="183"/>
        <w:jc w:val="center"/>
        <w:rPr>
          <w:rFonts w:ascii="黑体" w:hAnsi="华文中宋" w:eastAsia="黑体"/>
          <w:b/>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jc w:val="center"/>
        <w:rPr>
          <w:rFonts w:ascii="黑体" w:hAnsi="华文中宋" w:eastAsia="黑体"/>
          <w:b/>
          <w:bCs/>
          <w:color w:val="auto"/>
          <w:sz w:val="30"/>
          <w:szCs w:val="30"/>
          <w:highlight w:val="none"/>
        </w:rPr>
      </w:pPr>
      <w:r>
        <w:rPr>
          <w:rFonts w:hint="eastAsia" w:ascii="黑体" w:hAnsi="华文中宋" w:eastAsia="黑体"/>
          <w:b/>
          <w:bCs/>
          <w:color w:val="auto"/>
          <w:sz w:val="30"/>
          <w:szCs w:val="30"/>
          <w:highlight w:val="none"/>
        </w:rPr>
        <w:t>合同通用条款（工程类）</w:t>
      </w:r>
    </w:p>
    <w:p>
      <w:pPr>
        <w:pStyle w:val="16"/>
        <w:adjustRightInd w:val="0"/>
        <w:snapToGrid w:val="0"/>
        <w:spacing w:before="156" w:beforeLines="50" w:line="360" w:lineRule="auto"/>
        <w:ind w:firstLine="422" w:firstLineChars="200"/>
        <w:jc w:val="center"/>
        <w:rPr>
          <w:rFonts w:hAnsi="宋体"/>
          <w:b/>
          <w:color w:val="auto"/>
          <w:highlight w:val="none"/>
        </w:rPr>
      </w:pPr>
      <w:r>
        <w:rPr>
          <w:rFonts w:hint="eastAsia" w:hAnsi="宋体"/>
          <w:b/>
          <w:color w:val="auto"/>
          <w:highlight w:val="none"/>
        </w:rPr>
        <w:t>采用《建设工程施工合同（示范文本）》（GF-2017-0201）的“通用合同条款”。</w:t>
      </w:r>
    </w:p>
    <w:p>
      <w:pPr>
        <w:pStyle w:val="16"/>
        <w:adjustRightInd w:val="0"/>
        <w:snapToGrid w:val="0"/>
        <w:spacing w:before="156" w:beforeLines="50" w:line="360" w:lineRule="auto"/>
        <w:ind w:firstLine="422" w:firstLineChars="200"/>
        <w:jc w:val="center"/>
        <w:rPr>
          <w:rFonts w:hAnsi="宋体"/>
          <w:b/>
          <w:color w:val="auto"/>
          <w:highlight w:val="none"/>
        </w:rPr>
      </w:pPr>
      <w:r>
        <w:rPr>
          <w:rFonts w:hint="eastAsia" w:hAnsi="宋体"/>
          <w:b/>
          <w:color w:val="auto"/>
          <w:highlight w:val="none"/>
        </w:rPr>
        <w:t>（略）</w:t>
      </w:r>
    </w:p>
    <w:p>
      <w:pPr>
        <w:pStyle w:val="16"/>
        <w:adjustRightInd w:val="0"/>
        <w:snapToGrid w:val="0"/>
        <w:spacing w:before="156" w:beforeLines="50" w:line="360" w:lineRule="auto"/>
        <w:ind w:firstLine="420" w:firstLineChars="200"/>
        <w:jc w:val="center"/>
        <w:rPr>
          <w:rFonts w:ascii="黑体" w:hAnsi="华文中宋" w:eastAsia="黑体"/>
          <w:b/>
          <w:bCs/>
          <w:color w:val="auto"/>
          <w:sz w:val="30"/>
          <w:szCs w:val="30"/>
          <w:highlight w:val="none"/>
        </w:rPr>
      </w:pPr>
      <w:r>
        <w:rPr>
          <w:rFonts w:hint="eastAsia" w:hAnsi="宋体"/>
          <w:color w:val="auto"/>
          <w:highlight w:val="none"/>
        </w:rPr>
        <w:t>（供应商如有需要，采购代理机构可以提供）</w:t>
      </w:r>
    </w:p>
    <w:p>
      <w:pPr>
        <w:adjustRightInd w:val="0"/>
        <w:snapToGrid w:val="0"/>
        <w:spacing w:line="360" w:lineRule="auto"/>
        <w:rPr>
          <w:rFonts w:ascii="宋体" w:hAnsi="宋体"/>
          <w:color w:val="auto"/>
          <w:szCs w:val="21"/>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tabs>
          <w:tab w:val="left" w:pos="8820"/>
          <w:tab w:val="left" w:pos="9345"/>
          <w:tab w:val="left" w:pos="9765"/>
        </w:tabs>
        <w:adjustRightInd w:val="0"/>
        <w:snapToGrid w:val="0"/>
        <w:spacing w:before="156" w:beforeLines="50" w:line="360" w:lineRule="auto"/>
        <w:ind w:right="384" w:rightChars="183"/>
        <w:rPr>
          <w:rFonts w:ascii="黑体" w:hAnsi="华文中宋" w:eastAsia="黑体"/>
          <w:bCs/>
          <w:color w:val="auto"/>
          <w:sz w:val="30"/>
          <w:szCs w:val="30"/>
          <w:highlight w:val="none"/>
        </w:rPr>
      </w:pPr>
    </w:p>
    <w:p>
      <w:pPr>
        <w:pStyle w:val="2"/>
        <w:ind w:firstLine="300"/>
        <w:rPr>
          <w:rFonts w:ascii="黑体" w:hAnsi="华文中宋" w:eastAsia="黑体"/>
          <w:bCs/>
          <w:color w:val="auto"/>
          <w:sz w:val="30"/>
          <w:szCs w:val="30"/>
          <w:highlight w:val="none"/>
        </w:rPr>
      </w:pPr>
    </w:p>
    <w:p>
      <w:pPr>
        <w:jc w:val="left"/>
        <w:rPr>
          <w:rFonts w:ascii="宋体" w:hAnsi="宋体" w:cs="宋体"/>
          <w:b/>
          <w:bCs/>
          <w:color w:val="auto"/>
          <w:sz w:val="28"/>
          <w:szCs w:val="28"/>
          <w:highlight w:val="none"/>
        </w:rPr>
      </w:pPr>
      <w:bookmarkStart w:id="70" w:name="_Toc29883"/>
      <w:bookmarkStart w:id="71" w:name="_Toc2857"/>
      <w:r>
        <w:rPr>
          <w:rFonts w:hint="eastAsia" w:ascii="宋体" w:hAnsi="宋体" w:cs="宋体"/>
          <w:b/>
          <w:bCs/>
          <w:color w:val="auto"/>
          <w:sz w:val="28"/>
          <w:szCs w:val="28"/>
          <w:highlight w:val="none"/>
        </w:rPr>
        <w:t>三、合同专用条款</w:t>
      </w:r>
      <w:bookmarkEnd w:id="70"/>
      <w:bookmarkEnd w:id="71"/>
    </w:p>
    <w:p>
      <w:pPr>
        <w:pStyle w:val="3"/>
        <w:snapToGrid w:val="0"/>
        <w:ind w:left="105" w:leftChars="50"/>
        <w:jc w:val="center"/>
        <w:rPr>
          <w:rFonts w:ascii="黑体" w:hAnsi="华文中宋" w:eastAsia="黑体"/>
          <w:b/>
          <w:bCs/>
          <w:color w:val="auto"/>
          <w:sz w:val="36"/>
          <w:szCs w:val="36"/>
          <w:highlight w:val="none"/>
        </w:rPr>
      </w:pPr>
      <w:r>
        <w:rPr>
          <w:rFonts w:hint="eastAsia" w:ascii="黑体" w:hAnsi="华文中宋" w:eastAsia="黑体"/>
          <w:b/>
          <w:bCs/>
          <w:color w:val="auto"/>
          <w:sz w:val="36"/>
          <w:szCs w:val="36"/>
          <w:highlight w:val="none"/>
        </w:rPr>
        <w:t>合同专用条款（工程类）</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1.一般约定</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1.1 词语定义</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1.1.1 合同</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1.1.1.1 其他合同文件包括：</w:t>
      </w:r>
      <w:r>
        <w:rPr>
          <w:rFonts w:hint="eastAsia" w:ascii="宋体" w:hAnsi="宋体"/>
          <w:color w:val="auto"/>
          <w:szCs w:val="21"/>
          <w:highlight w:val="none"/>
          <w:u w:val="dotted"/>
        </w:rPr>
        <w:t xml:space="preserve">履行合同过程中双方书面确认的对合同内容有实质性影响的会议纪要、签证、设计变更等资料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1.1.2 合同当事人及其他相关方</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1.1.2.4 监理人：</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资质类别和等级：</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1.1.2.5 设计人：</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资质类别和等级：</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1.1.3 工程和设备</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1.1.3.7 作为施工现场组成部分的其他场所包括：</w:t>
      </w:r>
      <w:r>
        <w:rPr>
          <w:rFonts w:hint="eastAsia" w:ascii="宋体" w:hAnsi="宋体"/>
          <w:color w:val="auto"/>
          <w:szCs w:val="21"/>
          <w:highlight w:val="none"/>
          <w:u w:val="dotted"/>
        </w:rPr>
        <w:t xml:space="preserve"> 符合通用条款规定的发包人提供的施工场地</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1.1.3.9 永久占地包括：</w:t>
      </w:r>
      <w:r>
        <w:rPr>
          <w:rFonts w:hint="eastAsia" w:ascii="宋体" w:hAnsi="宋体"/>
          <w:color w:val="auto"/>
          <w:szCs w:val="21"/>
          <w:highlight w:val="none"/>
          <w:u w:val="dotted"/>
          <w:lang w:val="en-US" w:eastAsia="zh-CN"/>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b/>
          <w:bCs/>
          <w:color w:val="auto"/>
          <w:szCs w:val="21"/>
          <w:highlight w:val="none"/>
        </w:rPr>
      </w:pPr>
      <w:r>
        <w:rPr>
          <w:rFonts w:hint="eastAsia" w:ascii="宋体" w:hAnsi="宋体"/>
          <w:color w:val="auto"/>
          <w:szCs w:val="21"/>
          <w:highlight w:val="none"/>
        </w:rPr>
        <w:t>1.1.3.10 临时占地包括：</w:t>
      </w:r>
      <w:r>
        <w:rPr>
          <w:rFonts w:hint="eastAsia" w:ascii="宋体" w:hAnsi="宋体"/>
          <w:b/>
          <w:bCs/>
          <w:color w:val="auto"/>
          <w:szCs w:val="21"/>
          <w:highlight w:val="none"/>
          <w:u w:val="dotted"/>
        </w:rPr>
        <w:t>由承包人按项目需要自行确定，并提出方案报监理人和发包人审批；但发包人不为承包人提供任何食、宿场地，承包人自行解决。与临时占地有关的、以及在使用临时用地期间所产生的一切费用和安全责任，由承包人承担。</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1.3 法律</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适用于合同的其他规范性文件：</w:t>
      </w:r>
      <w:r>
        <w:rPr>
          <w:rFonts w:hint="eastAsia" w:ascii="宋体" w:hAnsi="宋体"/>
          <w:color w:val="auto"/>
          <w:szCs w:val="21"/>
          <w:highlight w:val="none"/>
          <w:u w:val="dotted"/>
        </w:rPr>
        <w:t>执行通用条款</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1.4 标准和规范</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1.4.1 适用于工程的标准规范包括：</w:t>
      </w:r>
      <w:r>
        <w:rPr>
          <w:rFonts w:hint="eastAsia" w:ascii="宋体" w:hAnsi="宋体"/>
          <w:color w:val="auto"/>
          <w:szCs w:val="21"/>
          <w:highlight w:val="none"/>
          <w:u w:val="dotted"/>
        </w:rPr>
        <w:t>所有现行国家标准、行业标准、工程所在地的地方性标准（包括收费标准等）</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1.4.2 发包人提供国外标准、规范的名称：</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发包人提供国外标准、 规范的份数：</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发包人提供国外标准、 规范的名称：</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1.4.3 发包人对工程的技术标准和功能要求的特殊要求：</w:t>
      </w:r>
      <w:r>
        <w:rPr>
          <w:rFonts w:hint="eastAsia" w:ascii="宋体" w:hAnsi="宋体"/>
          <w:color w:val="auto"/>
          <w:szCs w:val="21"/>
          <w:highlight w:val="none"/>
          <w:u w:val="dotted"/>
        </w:rPr>
        <w:t xml:space="preserve">按设计文件要求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1.5 合同文件的优先顺序</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合同文件组成及优先顺序为：</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（1）本合同协议书；</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（2）</w:t>
      </w:r>
      <w:r>
        <w:rPr>
          <w:rFonts w:hint="eastAsia" w:ascii="宋体" w:hAnsi="宋体"/>
          <w:color w:val="auto"/>
          <w:szCs w:val="21"/>
          <w:highlight w:val="none"/>
          <w:u w:val="dotted"/>
          <w:lang w:val="en-US" w:eastAsia="zh-CN"/>
        </w:rPr>
        <w:t>成交</w:t>
      </w:r>
      <w:r>
        <w:rPr>
          <w:rFonts w:hint="eastAsia" w:ascii="宋体" w:hAnsi="宋体"/>
          <w:color w:val="auto"/>
          <w:szCs w:val="21"/>
          <w:highlight w:val="none"/>
          <w:u w:val="dotted"/>
        </w:rPr>
        <w:t>通知书；</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（3）竞争性谈判文件；</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（4）响应文件及其附件；</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（5）本合同专用条款；</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（6）本合同通用条款；</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（7）标准、规范及有关技术文件；</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（8）</w:t>
      </w:r>
      <w:r>
        <w:rPr>
          <w:rFonts w:hint="eastAsia" w:ascii="宋体" w:hAnsi="宋体"/>
          <w:color w:val="auto"/>
          <w:szCs w:val="21"/>
          <w:highlight w:val="none"/>
          <w:u w:val="dotted"/>
          <w:lang w:eastAsia="zh-CN"/>
        </w:rPr>
        <w:t>报价文件</w:t>
      </w:r>
      <w:r>
        <w:rPr>
          <w:rFonts w:hint="eastAsia" w:ascii="宋体" w:hAnsi="宋体"/>
          <w:color w:val="auto"/>
          <w:szCs w:val="21"/>
          <w:highlight w:val="none"/>
          <w:u w:val="dotted"/>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（9）在合同订立及履行过程中形成经双方当事人签字或盖章的补充协议、设计变更及经济签证等资料，同一类内容的文件，应当以最新签署的为准</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1.6 图纸和承包人文件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 图纸的提供</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发包人向承包人提供图纸的期限：</w:t>
      </w:r>
      <w:r>
        <w:rPr>
          <w:rFonts w:hint="eastAsia" w:ascii="宋体" w:hAnsi="宋体"/>
          <w:color w:val="auto"/>
          <w:szCs w:val="21"/>
          <w:highlight w:val="none"/>
          <w:u w:val="dotted"/>
        </w:rPr>
        <w:t xml:space="preserve"> </w:t>
      </w:r>
      <w:r>
        <w:rPr>
          <w:rFonts w:hint="eastAsia" w:ascii="宋体" w:hAnsi="宋体"/>
          <w:color w:val="auto"/>
          <w:szCs w:val="21"/>
          <w:highlight w:val="none"/>
          <w:u w:val="dotted"/>
          <w:lang w:val="en-US" w:eastAsia="zh-CN"/>
        </w:rPr>
        <w:t xml:space="preserve">                 </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发包人向承包人提供图纸的数量：</w:t>
      </w:r>
      <w:r>
        <w:rPr>
          <w:rFonts w:hint="eastAsia" w:ascii="宋体" w:hAnsi="宋体"/>
          <w:color w:val="auto"/>
          <w:szCs w:val="21"/>
          <w:highlight w:val="none"/>
          <w:u w:val="dotted"/>
          <w:lang w:val="en-US" w:eastAsia="zh-CN"/>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发包人向承包人提供图纸的内容：</w:t>
      </w:r>
      <w:r>
        <w:rPr>
          <w:rFonts w:hint="eastAsia" w:ascii="宋体" w:hAnsi="宋体"/>
          <w:color w:val="auto"/>
          <w:szCs w:val="21"/>
          <w:highlight w:val="none"/>
          <w:u w:val="dotted"/>
          <w:lang w:val="en-US" w:eastAsia="zh-CN"/>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 承包人文件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需要由承包人提供的文件，包括：</w:t>
      </w:r>
      <w:r>
        <w:rPr>
          <w:rFonts w:hint="eastAsia" w:ascii="宋体" w:hAnsi="宋体"/>
          <w:color w:val="auto"/>
          <w:szCs w:val="21"/>
          <w:highlight w:val="none"/>
          <w:u w:val="dotted"/>
        </w:rPr>
        <w:t>工程需要的施工组织设计及相关文件、报价文件，相关部门要求提供的其它文件</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承包人提供的文件的期限为：</w:t>
      </w:r>
      <w:r>
        <w:rPr>
          <w:rFonts w:hint="eastAsia" w:ascii="宋体" w:hAnsi="宋体"/>
          <w:color w:val="auto"/>
          <w:szCs w:val="21"/>
          <w:highlight w:val="none"/>
          <w:u w:val="dotted"/>
        </w:rPr>
        <w:t xml:space="preserve"> 开工日期前7天内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承包人提供的文件的数量为：</w:t>
      </w:r>
      <w:r>
        <w:rPr>
          <w:rFonts w:hint="eastAsia" w:ascii="宋体" w:hAnsi="宋体"/>
          <w:color w:val="auto"/>
          <w:szCs w:val="21"/>
          <w:highlight w:val="none"/>
          <w:u w:val="dotted"/>
        </w:rPr>
        <w:t xml:space="preserve"> 肆    套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承包人提供的文件的形式为：</w:t>
      </w:r>
      <w:r>
        <w:rPr>
          <w:rFonts w:hint="eastAsia" w:ascii="宋体" w:hAnsi="宋体"/>
          <w:color w:val="auto"/>
          <w:szCs w:val="21"/>
          <w:highlight w:val="none"/>
          <w:u w:val="dotted"/>
        </w:rPr>
        <w:t xml:space="preserve"> 书面形式（包括纸质及电子文件）</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发包人审批承包人文件的期限：</w:t>
      </w:r>
      <w:r>
        <w:rPr>
          <w:rFonts w:hint="eastAsia" w:ascii="宋体" w:hAnsi="宋体"/>
          <w:color w:val="auto"/>
          <w:szCs w:val="21"/>
          <w:highlight w:val="none"/>
          <w:u w:val="dotted"/>
        </w:rPr>
        <w:t xml:space="preserve"> 收到文件后7天内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1.6.5 现场图纸准备</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关于现场图纸准备的约定：</w:t>
      </w:r>
      <w:r>
        <w:rPr>
          <w:rFonts w:hint="eastAsia" w:ascii="宋体" w:hAnsi="宋体"/>
          <w:color w:val="auto"/>
          <w:szCs w:val="21"/>
          <w:highlight w:val="none"/>
          <w:u w:val="dotted"/>
          <w:lang w:val="en-US" w:eastAsia="zh-CN"/>
        </w:rPr>
        <w:t xml:space="preserve">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1.7 联络</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1.7.1 发包人和承包人应当在</w:t>
      </w:r>
      <w:r>
        <w:rPr>
          <w:rFonts w:hint="eastAsia" w:ascii="宋体" w:hAnsi="宋体"/>
          <w:color w:val="auto"/>
          <w:szCs w:val="21"/>
          <w:highlight w:val="none"/>
          <w:u w:val="dotted"/>
        </w:rPr>
        <w:t xml:space="preserve"> 7 </w:t>
      </w:r>
      <w:r>
        <w:rPr>
          <w:rFonts w:hint="eastAsia" w:ascii="宋体" w:hAnsi="宋体"/>
          <w:color w:val="auto"/>
          <w:szCs w:val="21"/>
          <w:highlight w:val="none"/>
        </w:rPr>
        <w:t>天内将与合同有关的通知、批准、证明、证书、指示、指令、要求、请求、同意、意见、确定和决定等书面函件送达对方当事人。</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1.7.2 发包人接收文件的地点：</w:t>
      </w:r>
      <w:r>
        <w:rPr>
          <w:rFonts w:hint="eastAsia" w:ascii="宋体" w:hAnsi="宋体"/>
          <w:color w:val="auto"/>
          <w:szCs w:val="21"/>
          <w:highlight w:val="none"/>
          <w:u w:val="dotted"/>
        </w:rPr>
        <w:t>项目所在地发包人办公室</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发包人指定的接收人为：</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承包人接收文件的地点：</w:t>
      </w:r>
      <w:r>
        <w:rPr>
          <w:rFonts w:hint="eastAsia" w:ascii="宋体" w:hAnsi="宋体"/>
          <w:color w:val="auto"/>
          <w:szCs w:val="21"/>
          <w:highlight w:val="none"/>
          <w:u w:val="dotted"/>
        </w:rPr>
        <w:t>项目所在地发包人办公室</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承包人指定的接收人为：</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监理人接收文件的地点：</w:t>
      </w:r>
      <w:r>
        <w:rPr>
          <w:rFonts w:hint="eastAsia" w:ascii="宋体" w:hAnsi="宋体"/>
          <w:color w:val="auto"/>
          <w:szCs w:val="21"/>
          <w:highlight w:val="none"/>
          <w:u w:val="dotted"/>
        </w:rPr>
        <w:t xml:space="preserve"> 项目所在监理人办公室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监理人指定的接收人为：</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1.10 交通运输</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1.10.1 出入现场的权利</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关于出入现场的权利的约定：</w:t>
      </w:r>
      <w:r>
        <w:rPr>
          <w:rFonts w:hint="eastAsia" w:ascii="宋体" w:hAnsi="宋体"/>
          <w:color w:val="auto"/>
          <w:szCs w:val="21"/>
          <w:highlight w:val="none"/>
          <w:u w:val="dotted"/>
        </w:rPr>
        <w:t xml:space="preserve">承包人不得将用于本工程的材料设备等私自运出。由承包人按发包人要求负责取得出入施工现场所需的批准手续和全部权利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1.10.3 场内交通</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关于场外交通和场内交通的边界的约定：</w:t>
      </w:r>
      <w:r>
        <w:rPr>
          <w:rFonts w:hint="eastAsia" w:ascii="宋体" w:hAnsi="宋体"/>
          <w:color w:val="auto"/>
          <w:szCs w:val="21"/>
          <w:highlight w:val="none"/>
          <w:u w:val="dotted"/>
        </w:rPr>
        <w:t>施工出入口为场外交通和场内交通的边界</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关于发包人向承包人免费提供满足工程施工需要的场内道路和交通设施的约定：</w:t>
      </w:r>
      <w:r>
        <w:rPr>
          <w:rFonts w:hint="eastAsia" w:ascii="宋体" w:hAnsi="宋体"/>
          <w:color w:val="auto"/>
          <w:szCs w:val="21"/>
          <w:highlight w:val="none"/>
          <w:u w:val="dotted"/>
        </w:rPr>
        <w:t>免费提供，但发包人不再对施工场地进行修整，承包人对场地的自行踏勘视为其已了解并接受施工场地现状，若需修整，由承包人自行解决，费用自理，工期不予补偿；施工场地与公共道路的通道视为已开通，若承包人认为需增加设施，则由承包人自行解决，费用自行承担，工期不予补偿</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1.10.4 超大件和超重件的运输</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运输超大件或超重件所需的道路和桥梁临时加固改造费用和其他有关费用由</w:t>
      </w:r>
      <w:r>
        <w:rPr>
          <w:rFonts w:hint="eastAsia" w:ascii="宋体" w:hAnsi="宋体"/>
          <w:color w:val="auto"/>
          <w:szCs w:val="21"/>
          <w:highlight w:val="none"/>
          <w:u w:val="dotted"/>
        </w:rPr>
        <w:t xml:space="preserve">   承包人  </w:t>
      </w:r>
      <w:r>
        <w:rPr>
          <w:rFonts w:hint="eastAsia" w:ascii="宋体" w:hAnsi="宋体"/>
          <w:color w:val="auto"/>
          <w:szCs w:val="21"/>
          <w:highlight w:val="none"/>
        </w:rPr>
        <w:t>承担。</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1.11 知识产权</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olor w:val="auto"/>
          <w:szCs w:val="21"/>
          <w:highlight w:val="none"/>
          <w:u w:val="dotted"/>
        </w:rPr>
        <w:t xml:space="preserve"> 发包人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关于发包人提供的上述文件的使用限制的要求：</w:t>
      </w:r>
      <w:r>
        <w:rPr>
          <w:rFonts w:hint="eastAsia" w:ascii="宋体" w:hAnsi="宋体"/>
          <w:color w:val="auto"/>
          <w:szCs w:val="21"/>
          <w:highlight w:val="none"/>
          <w:u w:val="dotted"/>
        </w:rPr>
        <w:t xml:space="preserve"> 未经发包人许可，承包人不得用于其它工程或转给第三方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1.11.2 关于承包人为实施工程所编制文件的著作权的归属：</w:t>
      </w:r>
      <w:r>
        <w:rPr>
          <w:rFonts w:hint="eastAsia" w:ascii="宋体" w:hAnsi="宋体"/>
          <w:color w:val="auto"/>
          <w:szCs w:val="21"/>
          <w:highlight w:val="none"/>
          <w:u w:val="dotted"/>
        </w:rPr>
        <w:t xml:space="preserve"> 发包人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关于承包人提供的上述文件的使用限制的要求：</w:t>
      </w:r>
      <w:r>
        <w:rPr>
          <w:rFonts w:hint="eastAsia" w:ascii="宋体" w:hAnsi="宋体"/>
          <w:color w:val="auto"/>
          <w:szCs w:val="21"/>
          <w:highlight w:val="none"/>
          <w:u w:val="dotted"/>
        </w:rPr>
        <w:t xml:space="preserve">未经发包人许可，承包人不得用于其它工程或转给第三方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1.11.4 承包人在施工过程中所采用的专利、专有技术、技术秘密的使用费的承担方式：</w:t>
      </w:r>
      <w:r>
        <w:rPr>
          <w:rFonts w:hint="eastAsia" w:ascii="宋体" w:hAnsi="宋体"/>
          <w:color w:val="auto"/>
          <w:szCs w:val="21"/>
          <w:highlight w:val="none"/>
          <w:u w:val="dotted"/>
        </w:rPr>
        <w:t>由承包人承担</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1.13 工程量清单错误的修正</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出现工程量清单错误时，是否调整合同价格：</w:t>
      </w:r>
      <w:r>
        <w:rPr>
          <w:rFonts w:hint="eastAsia" w:ascii="宋体" w:hAnsi="宋体"/>
          <w:color w:val="auto"/>
          <w:szCs w:val="21"/>
          <w:highlight w:val="none"/>
          <w:u w:val="dotted"/>
        </w:rPr>
        <w:t xml:space="preserve"> 按结算条款约定计算规则调整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允许调整合同价格的工程量偏差范围：</w:t>
      </w:r>
      <w:r>
        <w:rPr>
          <w:rFonts w:hint="eastAsia" w:ascii="宋体" w:hAnsi="宋体"/>
          <w:color w:val="auto"/>
          <w:szCs w:val="21"/>
          <w:highlight w:val="none"/>
          <w:u w:val="dotted"/>
        </w:rPr>
        <w:t>实际工程量与采购清单工程量偏差在±3%以内的不调整合同价格，超过部分可以调整，调整原则按结算条款执行</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2.发包人</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2.2 发包人代表</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发包人代表：</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职    务：</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发包人对发包人代表的授权范围如下：</w:t>
      </w:r>
      <w:r>
        <w:rPr>
          <w:rFonts w:hint="eastAsia" w:ascii="宋体" w:hAnsi="宋体"/>
          <w:color w:val="auto"/>
          <w:szCs w:val="21"/>
          <w:highlight w:val="none"/>
          <w:u w:val="dotted"/>
        </w:rPr>
        <w:t>督促指导监理工程师行使职权，协调施工现场各方面的关系，协调工程质量、进度和安全文明施工中存在的问题，解决有关设计和技术签证，办理签认现场经济技术签证，审核工程进度报表</w:t>
      </w:r>
      <w:r>
        <w:rPr>
          <w:rFonts w:hint="eastAsia" w:ascii="宋体" w:hAnsi="宋体"/>
          <w:color w:val="auto"/>
          <w:szCs w:val="21"/>
          <w:highlight w:val="none"/>
        </w:rPr>
        <w:t>；</w:t>
      </w:r>
      <w:r>
        <w:rPr>
          <w:rFonts w:hint="eastAsia" w:ascii="宋体" w:hAnsi="宋体"/>
          <w:color w:val="auto"/>
          <w:szCs w:val="21"/>
          <w:highlight w:val="none"/>
          <w:u w:val="dotted"/>
        </w:rPr>
        <w:t>发包人可能会随时更换其代表，但在监理工程师和承包人收到发包人的相应书面通知之前，任何对发包人代表的任命或更换应当不产生合同效力</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发包人代表的任何批准、校核、证明、同意、检查、检验、指示、通知、建议、要求、试验或类似行动，不应当解除承包人根据合同规定应当承担的任何义务和责任。</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2.4 施工现场、施工条件和基础资料的提供</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 提供施工现场</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关于发包人移交施工现场的期限要求：</w:t>
      </w:r>
      <w:r>
        <w:rPr>
          <w:rFonts w:hint="eastAsia" w:ascii="宋体" w:hAnsi="宋体"/>
          <w:color w:val="auto"/>
          <w:szCs w:val="21"/>
          <w:highlight w:val="none"/>
          <w:u w:val="dotted"/>
        </w:rPr>
        <w:t xml:space="preserve">开工前七日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 提供施工条件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关于发包人应当负责提供施工所需要的条件，包括：</w:t>
      </w:r>
      <w:r>
        <w:rPr>
          <w:rFonts w:hint="eastAsia" w:ascii="宋体" w:hAnsi="宋体"/>
          <w:color w:val="auto"/>
          <w:szCs w:val="21"/>
          <w:highlight w:val="none"/>
          <w:u w:val="dotted"/>
        </w:rPr>
        <w:t xml:space="preserve">发包人负责协调水、电、电讯线路的接入，由承包人按开工需要接至施工场地，费用由承包人承担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2.5 资金来源证明及支付担保</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发包人提供资金来源证明的期限要求：</w:t>
      </w:r>
      <w:r>
        <w:rPr>
          <w:rFonts w:hint="eastAsia" w:ascii="宋体" w:hAnsi="宋体"/>
          <w:color w:val="auto"/>
          <w:szCs w:val="21"/>
          <w:highlight w:val="none"/>
          <w:u w:val="dotted"/>
        </w:rPr>
        <w:t xml:space="preserve">   不提供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发包人是否提供支付担保：</w:t>
      </w:r>
      <w:r>
        <w:rPr>
          <w:rFonts w:hint="eastAsia" w:ascii="宋体" w:hAnsi="宋体"/>
          <w:color w:val="auto"/>
          <w:szCs w:val="21"/>
          <w:highlight w:val="none"/>
          <w:u w:val="dotted"/>
        </w:rPr>
        <w:t xml:space="preserve">   不提供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发包人提供支付担保的形式：</w:t>
      </w:r>
      <w:r>
        <w:rPr>
          <w:rFonts w:hint="eastAsia" w:ascii="宋体" w:hAnsi="宋体"/>
          <w:color w:val="auto"/>
          <w:szCs w:val="21"/>
          <w:highlight w:val="none"/>
          <w:u w:val="dotted"/>
        </w:rPr>
        <w:t xml:space="preserve">  无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3.承包人</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3.1 承包人的一般义务</w:t>
      </w:r>
    </w:p>
    <w:p>
      <w:pPr>
        <w:adjustRightInd w:val="0"/>
        <w:snapToGrid w:val="0"/>
        <w:spacing w:line="360" w:lineRule="auto"/>
        <w:ind w:firstLine="315" w:firstLineChars="150"/>
        <w:rPr>
          <w:rFonts w:ascii="宋体" w:hAnsi="宋体"/>
          <w:color w:val="auto"/>
          <w:szCs w:val="21"/>
          <w:highlight w:val="none"/>
          <w:u w:val="dotted"/>
        </w:rPr>
      </w:pPr>
      <w:r>
        <w:rPr>
          <w:rFonts w:hint="eastAsia" w:ascii="宋体" w:hAnsi="宋体"/>
          <w:color w:val="auto"/>
          <w:szCs w:val="21"/>
          <w:highlight w:val="none"/>
        </w:rPr>
        <w:t>（9）承包人提交的竣工资料的内容：</w:t>
      </w:r>
      <w:r>
        <w:rPr>
          <w:rFonts w:hint="eastAsia" w:ascii="宋体" w:hAnsi="宋体"/>
          <w:color w:val="auto"/>
          <w:szCs w:val="21"/>
          <w:highlight w:val="none"/>
          <w:u w:val="dotted"/>
        </w:rPr>
        <w:t>竣工资料包括（不限于）：（1）开工报告；（2）隐蔽工程验收记录；（3）基础工程验收记录（如有）；（4）材料出厂合格证；（5）主体结构验收记录（如有）；（6）分项工程质量检验评定表；（7）工程安装质量检验评定表；（8）主要材料检测报告；（9）主要材料实验报告；（10）外购件出厂合格证；（11）竣工报告；（12）竣工验收单；（13）竣工图；（14）其他湖南省及常德市规定及发包人要求提供的资料。</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承包人需要提交的竣工资料套数：</w:t>
      </w:r>
      <w:r>
        <w:rPr>
          <w:rFonts w:hint="eastAsia" w:ascii="宋体" w:hAnsi="宋体"/>
          <w:color w:val="auto"/>
          <w:szCs w:val="21"/>
          <w:highlight w:val="none"/>
          <w:u w:val="dotted"/>
        </w:rPr>
        <w:t xml:space="preserve">完整竣工图及竣工资料4套以及电子文档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承包人提交的竣工资料的费用承担：</w:t>
      </w:r>
      <w:r>
        <w:rPr>
          <w:rFonts w:hint="eastAsia" w:ascii="宋体" w:hAnsi="宋体"/>
          <w:color w:val="auto"/>
          <w:szCs w:val="21"/>
          <w:highlight w:val="none"/>
          <w:u w:val="dotted"/>
        </w:rPr>
        <w:t xml:space="preserve">  由承包人承担所有费用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承包人提交的竣工资料移交时间：</w:t>
      </w:r>
      <w:r>
        <w:rPr>
          <w:rFonts w:hint="eastAsia" w:ascii="宋体" w:hAnsi="宋体"/>
          <w:color w:val="auto"/>
          <w:szCs w:val="21"/>
          <w:highlight w:val="none"/>
          <w:u w:val="dotted"/>
        </w:rPr>
        <w:t xml:space="preserve"> 承包人应当在竣工验收之日起40日内将完整的档案资料移交城建档案馆及发包人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承包人提交的竣工资料形式要求：</w:t>
      </w:r>
      <w:r>
        <w:rPr>
          <w:rFonts w:hint="eastAsia" w:ascii="宋体" w:hAnsi="宋体"/>
          <w:color w:val="auto"/>
          <w:szCs w:val="21"/>
          <w:highlight w:val="none"/>
          <w:u w:val="dotted"/>
        </w:rPr>
        <w:t xml:space="preserve"> 书面形式（包括纸质及电子文件）</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（10） 承包人应当履行的其他义务：</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（1）承包人负责完成场地的临时施工通道，满足施工运输需要，并承担相关费用。</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（2）承包人应当积极处理</w:t>
      </w:r>
      <w:bookmarkStart w:id="72" w:name="OLE_LINK5"/>
      <w:r>
        <w:rPr>
          <w:rFonts w:hint="eastAsia" w:ascii="宋体" w:hAnsi="宋体"/>
          <w:color w:val="auto"/>
          <w:szCs w:val="21"/>
          <w:highlight w:val="none"/>
          <w:u w:val="dotted"/>
        </w:rPr>
        <w:t>好与现场其他分包施工单位</w:t>
      </w:r>
      <w:bookmarkEnd w:id="72"/>
      <w:r>
        <w:rPr>
          <w:rFonts w:hint="eastAsia" w:ascii="宋体" w:hAnsi="宋体"/>
          <w:color w:val="auto"/>
          <w:szCs w:val="21"/>
          <w:highlight w:val="none"/>
          <w:u w:val="dotted"/>
        </w:rPr>
        <w:t>（如有）的关系，与其他分包施工单位平行作业，并及时处理好施工期间的矛盾，确保工期；</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（3）施工所需证件、批件的名称和完成时间：按照相关规定，承包人负责协助办理其应当办理的有关证件、批件等。完成的日期是：开工日期前5天。</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（4）及时处理施工期间的责任事故或者意外事件，防止事件扩大化，并承担所发生的事故费用和事故责任。</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（5）承包人负责每月向工程师提供下段工程进度计划及当月相应进度统计报表，份数：4份。</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6）承包人负责在工程施工、竣工整个过程中施工现场全部人员的安全（发包人负责分包的单位除外）。除因发包人、发包人工程师或雇员的行动或过失而造成的伤亡外，发包人不承担承包人或发包人分包单位雇用的工人或其他人员的伤亡赔偿或补偿责任。</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承包人负责在需要的时间和地点，根据有关部门要求，在施工范围内自费提供和维护所有灯光、护板、栅栏、警告信号和警卫，以及对工程进行保护或为公众提供安全和方便。</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（7）按照规定，办理需由承包人办理的有关施工场地交通、环卫和施工噪音管理等手续，并在合同要求范围的施工、竣工、和保修均应当不使下述各方面遭受不必要的干扰：</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①公众的便利；</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②对公用道路，便道的使用和他人财产的占用。</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承包人应当保证发包人免于受到或承担应当由承包人负责的上述事项所引起的或与之有关的索赔、诉讼、损害赔偿及其他开支。</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（8) 承包人承担施工期承包人施工发生的所有排水、排污费用，发包人不再另行签证。</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（9) 施工场地周围的地下管线和邻近建筑物、构筑物(含文物保护建筑)、古树名木的保护要求及费用承担：承包人负责做好施工场地周围建筑物、构筑物和地下管线的保护，并承担费用。</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（10) 承包人负责施工场地清洁，交工前工地场内外应当清除所有建筑废品及垃圾，并承担费用。</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（11)承包人负责提供各类物资设备的进场计划，并于进场前起3个日历内向发包人提供。</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（12）承包人在工程施工过程中发生了与发包人的矛盾纠纷时，企业负责人必须亲自出面与发包人直接沟通、协调、处理，否则发包人有权要求承包人停止施工，造成的一切后果和损失均由承包人负责。</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（13）发包人无论何时均不对上述承包人的设备、临时设施和材料的损失或损坏承担任何责任。</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（14）本项目的所有报建工作（如有）均由承包人负责，承包人必须设专人负责办理本工程项目报建及相关手续，并承担所有相关费用。</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3.2 项目经理</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3.2.1 项目经理：</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建造师执业资格等级：</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建造师注册证书号：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建造师执业印章号：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安全生产考核合格证书号：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承包人对项目经理的授权范围如下：</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关于项目经理每月在施工现场的时间要求：</w:t>
      </w:r>
      <w:r>
        <w:rPr>
          <w:rFonts w:hint="eastAsia" w:ascii="宋体" w:hAnsi="宋体"/>
          <w:color w:val="auto"/>
          <w:szCs w:val="21"/>
          <w:highlight w:val="none"/>
          <w:u w:val="dotted"/>
        </w:rPr>
        <w:t>每月在现场不得低于24天，不得承接其他工程。项目经理在现场的每一天上午、下午到发包人项目管理办公室签到，未签到视同缺勤</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承包人未提交劳动合同，以及没有为项目经理缴纳社会保险证明的违约责任：</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项目经理未经批准，擅自离开施工现场的违约责任：</w:t>
      </w:r>
      <w:r>
        <w:rPr>
          <w:rFonts w:hint="eastAsia" w:ascii="宋体" w:hAnsi="宋体"/>
          <w:color w:val="auto"/>
          <w:szCs w:val="21"/>
          <w:highlight w:val="none"/>
          <w:u w:val="dotted"/>
        </w:rPr>
        <w:t>发包人严格执行工作日考勤，每缺勤一天，发包人扣除旷工费2000.00元/天；未经发包人同意，一个月累计缺勤五天（含）以上，发包人有权要求更换项目经理，由此增加的费用和（或）延误的工期由承包人承担。</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3.2.3 承包人擅自更换项目经理的违约责任：</w:t>
      </w:r>
      <w:r>
        <w:rPr>
          <w:rFonts w:hint="eastAsia" w:ascii="宋体" w:hAnsi="宋体"/>
          <w:color w:val="auto"/>
          <w:szCs w:val="21"/>
          <w:highlight w:val="none"/>
          <w:u w:val="dotted"/>
        </w:rPr>
        <w:t>承包人应当按擅自更换项目经理的人数按5000元/人支付违约金，同时发包人有权要求停工，由此增加的费用和（或）延误的工期由承包人承担</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3.2.4 承包人无正当理由拒绝更换项目经理的违约责任：</w:t>
      </w:r>
      <w:r>
        <w:rPr>
          <w:rFonts w:hint="eastAsia" w:ascii="宋体" w:hAnsi="宋体"/>
          <w:color w:val="auto"/>
          <w:szCs w:val="21"/>
          <w:highlight w:val="none"/>
          <w:u w:val="dotted"/>
        </w:rPr>
        <w:t>支付违约金5万元，发包人有权要求停工，由此增加的费用和（或）延误的工期由承包人承担</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3.3 承包人人员</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3.3.1 承包人提交项目管理机构及施工现场管理人员安排报告的期限：</w:t>
      </w:r>
      <w:r>
        <w:rPr>
          <w:rFonts w:hint="eastAsia" w:ascii="宋体" w:hAnsi="宋体"/>
          <w:color w:val="auto"/>
          <w:szCs w:val="21"/>
          <w:highlight w:val="none"/>
          <w:u w:val="dotted"/>
        </w:rPr>
        <w:t xml:space="preserve"> 项目开工前2天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承包人应当按响应文件所报名单委派项目经理及各岗位管理人员，并保持其岗位的相对稳定。未经发包人同意，严禁随意更换。确需更换的，须向发包人提出书面申请，陈述更换理由。更换人员资质条件必须高于或等同于被换人员的资质条件，按程序逐级上报发包人审批。如果监理工程师或发包人认为已委派的项目经理或岗位人员的工作能力或业务水平不称职，不能胜任本职工作，或不能认真履行合同，有权提出限期更换人员，更换人员的资质条件必须高于或等同于合同要求的资质条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承包人未经发包人同意更换项目经理或其他岗位人员，承包人应当按项目经理或技术负责人5000元/人、其他岗位人员2000元/人的标准向发包人支付违约金。施工现场各阶段具体施工人员的数量，未按竞争性谈判文件要求配备的，承包人必须按1000元/人•天的标准向发包人支付违约金</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3.3.3 承包人无正当理由拒绝撤换主要施工管理人员的违约责任：</w:t>
      </w:r>
      <w:r>
        <w:rPr>
          <w:rFonts w:hint="eastAsia" w:ascii="宋体" w:hAnsi="宋体"/>
          <w:color w:val="auto"/>
          <w:szCs w:val="21"/>
          <w:highlight w:val="none"/>
          <w:u w:val="dotted"/>
        </w:rPr>
        <w:t>向发包人支付违约金1万元/人.次，同时发包人有权要求停工，由此增加的费用和（或）延误的工期由承包人承担</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3.3.4 承包人主要施工管理人员离开施工现场的批准要求：</w:t>
      </w:r>
      <w:r>
        <w:rPr>
          <w:rFonts w:hint="eastAsia" w:ascii="宋体" w:hAnsi="宋体"/>
          <w:color w:val="auto"/>
          <w:szCs w:val="21"/>
          <w:highlight w:val="none"/>
          <w:u w:val="dotted"/>
        </w:rPr>
        <w:t xml:space="preserve"> 向项目经理请假，报总监理工程师批准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3.3.5 承包人擅自更换主要施工管理人员的违约责任</w:t>
      </w:r>
      <w:r>
        <w:rPr>
          <w:rFonts w:hint="eastAsia" w:ascii="宋体" w:hAnsi="宋体"/>
          <w:color w:val="auto"/>
          <w:szCs w:val="21"/>
          <w:highlight w:val="none"/>
          <w:u w:val="dotted"/>
        </w:rPr>
        <w:t>：每人次支付违约金5000.00元，由此增加的费用和（或）延误的工期由承包人承担</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承包人主要施工管理人员擅自离开施工现场的违约责任：</w:t>
      </w:r>
      <w:r>
        <w:rPr>
          <w:rFonts w:hint="eastAsia" w:ascii="宋体" w:hAnsi="宋体"/>
          <w:color w:val="auto"/>
          <w:szCs w:val="21"/>
          <w:highlight w:val="none"/>
          <w:u w:val="dotted"/>
        </w:rPr>
        <w:t>每人罚款1000元，由此增加的费用和（或）延误的工期由承包人承担</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3.5 分包</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3.5.1 分包的一般约定</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禁止分包的工程包括：</w:t>
      </w:r>
      <w:r>
        <w:rPr>
          <w:rFonts w:hint="eastAsia" w:ascii="宋体" w:hAnsi="宋体"/>
          <w:color w:val="auto"/>
          <w:szCs w:val="21"/>
          <w:highlight w:val="none"/>
          <w:u w:val="dotted"/>
        </w:rPr>
        <w:t>本合同规定允许分包的工程之外的所有工程</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主体结构、关键性工作的范围：</w:t>
      </w:r>
      <w:r>
        <w:rPr>
          <w:rFonts w:hint="eastAsia" w:ascii="宋体" w:hAnsi="宋体"/>
          <w:color w:val="auto"/>
          <w:szCs w:val="21"/>
          <w:highlight w:val="none"/>
          <w:u w:val="dotted"/>
        </w:rPr>
        <w:t xml:space="preserve">      按国家规定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3.5.2 分包的确定</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允许分包的专业工程包括</w:t>
      </w:r>
      <w:r>
        <w:rPr>
          <w:rFonts w:hint="eastAsia" w:ascii="宋体" w:hAnsi="宋体" w:cs="宋体"/>
          <w:color w:val="auto"/>
          <w:highlight w:val="none"/>
        </w:rPr>
        <w:t>：</w:t>
      </w:r>
      <w:r>
        <w:rPr>
          <w:rFonts w:hint="eastAsia" w:ascii="宋体" w:hAnsi="宋体" w:cs="宋体"/>
          <w:color w:val="auto"/>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15" w:firstLineChars="198"/>
        <w:rPr>
          <w:rFonts w:ascii="宋体" w:hAnsi="宋体"/>
          <w:color w:val="auto"/>
          <w:szCs w:val="21"/>
          <w:highlight w:val="none"/>
        </w:rPr>
      </w:pPr>
      <w:r>
        <w:rPr>
          <w:rFonts w:hint="eastAsia" w:ascii="宋体" w:hAnsi="宋体"/>
          <w:color w:val="auto"/>
          <w:szCs w:val="21"/>
          <w:highlight w:val="none"/>
        </w:rPr>
        <w:t>3.5.3关于分包的约定：</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（1）分包单位的确定，以承包人自主采购的形式，按照国家有关规定及合同规定程序对分包专业单位进行采购，发包人监督。</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（2）分包单位必须具有符合国家规定并与相关专业工程相匹配的资质，并在人员、设备、资金等方面具有相应的能力，满足分包项目的需要。</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（3）以暂列金额或暂估价形式进入项目预算总价的分包专业项目，根据采购限额标准需进行二次采购的，必须按国家有关采购规定程序采购，分包专业采购的内容以评审通过的设计预算项目内容为准；</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（4）无分部分项设计和预算的分包专业项目，如需增加，由发包人根据评审投资限额和实际需要审慎确定是否增加。其项目的减少，按实际发生的工程量计算；</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5）所有分包项目结算，由承包人开具发票，承包人自行与分包人协商发票税金、并在总分包费（不含设备费）3%以内协商总承包服务费；承包人与分包人签订的分包施工合同交发包人备案，其合同内的分包服务费标准符合前述额度；</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（6）承包人必须配合好其他分包单位施工，承包人在配合分包专业施工时，对总合同发生的工期影响已包含在总工期内，不另增补工期。</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（7）分包工程不能解除承包人任何责任与义务。承包人应当在分包场地派驻相应管理人员，保证本合同的履行。分包单位的任何违约行为或麻痹大意导致工程损害或给发包人造成损失，承包人承担连带责任。</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（8）承包人不得将全部工程转包给他人，或肢解整体工程以分包的名义转包其他禁止分包的工程。</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（9）承包人确保本项目一次性通过有关部门验收合格</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3.5.4 分包合同价款</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rPr>
        <w:t>关于分包合同价款及支付的约定：</w:t>
      </w:r>
      <w:r>
        <w:rPr>
          <w:rFonts w:hint="eastAsia" w:ascii="宋体" w:hAnsi="宋体"/>
          <w:color w:val="auto"/>
          <w:szCs w:val="21"/>
          <w:highlight w:val="none"/>
          <w:u w:val="dotted"/>
        </w:rPr>
        <w:t>发包人根据合同约定向承包人支付、承包人向分包人支付。承包人支付分包人的方式由承包人与分包人自行确定，但结算时须有分包专业施工单位签字确认的资料方可进行总结算；或经承包人同意，发包人直接向分包人支付分包合同价款</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3.6 工程照管与成品、半成品保护</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rPr>
        <w:t>承包人负责照管工程及工程相关的材料、工程设备的起始时间：</w:t>
      </w:r>
      <w:r>
        <w:rPr>
          <w:rFonts w:hint="eastAsia" w:ascii="宋体" w:hAnsi="宋体"/>
          <w:color w:val="auto"/>
          <w:szCs w:val="21"/>
          <w:highlight w:val="none"/>
          <w:u w:val="dotted"/>
        </w:rPr>
        <w:t>自工程及工程相关的材料、工程设备开始或到达工地开始至工程完工并验收合格之日止</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3.7 履约担保</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承包人是否提供履约担保：</w:t>
      </w:r>
      <w:r>
        <w:rPr>
          <w:rFonts w:hint="eastAsia" w:ascii="宋体" w:hAnsi="宋体"/>
          <w:color w:val="auto"/>
          <w:szCs w:val="21"/>
          <w:highlight w:val="none"/>
          <w:u w:val="dotted"/>
        </w:rPr>
        <w:t xml:space="preserve">  提供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承包人提供履约担保的形式、金额及期限的：</w:t>
      </w:r>
      <w:r>
        <w:rPr>
          <w:rFonts w:hint="eastAsia" w:ascii="宋体" w:hAnsi="宋体"/>
          <w:color w:val="auto"/>
          <w:szCs w:val="21"/>
          <w:highlight w:val="none"/>
          <w:u w:val="dotted"/>
        </w:rPr>
        <w:t>壹万元整，银行保函或银行转账，自合同生效之日起至合同约定的成交供应商主要义务履行完毕止。</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4.监理人</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4.1 监理人的一般规定</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关于监理人的监理内容：</w:t>
      </w:r>
      <w:r>
        <w:rPr>
          <w:rFonts w:hint="eastAsia" w:ascii="宋体" w:hAnsi="宋体"/>
          <w:color w:val="auto"/>
          <w:szCs w:val="21"/>
          <w:highlight w:val="none"/>
          <w:u w:val="dotted"/>
        </w:rPr>
        <w:t xml:space="preserve">  详见监理合同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关于监理人的监理权限：</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（1）施工图组织设计、施工方案的批准；</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（2）设计变更、工程变更的签署；</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（3）对发包人与承包人的索赔与反索赔事宜做出建议；</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（4）进度款支付前形像进度的确认；</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（5）工程中间验收和隐蔽工程验收；</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（6）工程竣工验收及验收证书的签署；</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（7）整个施工过程中工程质量、工程进度的监理；</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（8）与相关部门的组织协调工作。</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监理工程师在行使上述权利或本工程监理合同职权范围内的职权时，承包人均应当视为已经取得发包人的同意，不得拒绝执行。</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需要取得发包人批准才能行使的职权包括：工程开工令、工程停工令、暂停令的发布，工程延期、工程变更的审批，工程内容的增减等。</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关于监理人在施工现场的办公场所、生活场所的提供和费用承担的约定：</w:t>
      </w:r>
      <w:r>
        <w:rPr>
          <w:rFonts w:hint="eastAsia" w:ascii="宋体" w:hAnsi="宋体"/>
          <w:color w:val="auto"/>
          <w:szCs w:val="21"/>
          <w:highlight w:val="none"/>
          <w:u w:val="dotted"/>
        </w:rPr>
        <w:t xml:space="preserve"> 详见监理合同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4.2 监理人员</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总监理工程师：</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职    务：</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监理工程师执业资格证书号：</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电子信箱：</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通信地址：</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关于监理人的其他约定：</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4.4 商定或确定</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在发包人和承包人不能通过协商达成一致意见时，发包人授权监理人对以下事项进行确定：</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u w:val="dotted"/>
        </w:rPr>
        <w:t xml:space="preserve">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5.工程质量</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5.1 质量要求</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5.1.1 特殊质量标准和要求：</w:t>
      </w:r>
      <w:r>
        <w:rPr>
          <w:rFonts w:hint="eastAsia" w:ascii="宋体" w:hAnsi="宋体"/>
          <w:color w:val="auto"/>
          <w:szCs w:val="21"/>
          <w:highlight w:val="none"/>
          <w:u w:val="dotted"/>
        </w:rPr>
        <w:t xml:space="preserve"> 其中消防工程以通过消防部门的验收为合格 </w:t>
      </w:r>
      <w:r>
        <w:rPr>
          <w:rFonts w:hint="eastAsia" w:ascii="宋体" w:hAnsi="宋体"/>
          <w:color w:val="auto"/>
          <w:szCs w:val="21"/>
          <w:highlight w:val="non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关于工程奖项的约定：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5.3 隐蔽工程检查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5.3.2 承包人提前通知监理人隐蔽工程检查的期限的约定：</w:t>
      </w:r>
      <w:r>
        <w:rPr>
          <w:rFonts w:hint="eastAsia" w:ascii="宋体" w:hAnsi="宋体"/>
          <w:color w:val="auto"/>
          <w:szCs w:val="21"/>
          <w:highlight w:val="none"/>
          <w:u w:val="dotted"/>
        </w:rPr>
        <w:t>按通用条款</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监理人不能按时进行检查时，应当提前</w:t>
      </w:r>
      <w:r>
        <w:rPr>
          <w:rFonts w:hint="eastAsia" w:ascii="宋体" w:hAnsi="宋体"/>
          <w:color w:val="auto"/>
          <w:szCs w:val="21"/>
          <w:highlight w:val="none"/>
          <w:u w:val="dotted"/>
        </w:rPr>
        <w:t xml:space="preserve"> 24 </w:t>
      </w:r>
      <w:r>
        <w:rPr>
          <w:rFonts w:hint="eastAsia" w:ascii="宋体" w:hAnsi="宋体"/>
          <w:color w:val="auto"/>
          <w:szCs w:val="21"/>
          <w:highlight w:val="none"/>
        </w:rPr>
        <w:t>小时提交书面延期要求。</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关于延期最长不得超过：</w:t>
      </w:r>
      <w:r>
        <w:rPr>
          <w:rFonts w:hint="eastAsia" w:ascii="宋体" w:hAnsi="宋体"/>
          <w:color w:val="auto"/>
          <w:szCs w:val="21"/>
          <w:highlight w:val="none"/>
          <w:u w:val="dotted"/>
        </w:rPr>
        <w:t xml:space="preserve"> 48  </w:t>
      </w:r>
      <w:r>
        <w:rPr>
          <w:rFonts w:hint="eastAsia" w:ascii="宋体" w:hAnsi="宋体"/>
          <w:color w:val="auto"/>
          <w:szCs w:val="21"/>
          <w:highlight w:val="none"/>
        </w:rPr>
        <w:t>小时。</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6.安全文明施工与环境保护</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6.1 安全文明施工</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rPr>
        <w:t>6.1.1 项目安全生产的达标目标及相应事项的约定：</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（1）承包人应当严格按照《湖南省建设工程质量和安全生产管理条例》、《环境保护法》等文件要求，保证施工现场安全生产文明施工，并达到市级安全文明工地标准要求。</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（2）承包人负责在工程施工、竣工及保修的整个过程中施工现场全部人员的安全。发包人不承担承包人单位人员或其他人员的伤亡赔偿或补偿责任。</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3）工程施工中，承包人必须遵守安全生产的有关规定，采取必要的安全防护措施，杜绝安全质量事故的发生，如施工过程中确实存在重大安全隐患，应当及时书面报告发包人，在排除后方可施工。如现场发生重大安全、质量事故，承包人应当采取措施，负责自费保护好事故现场。</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4）在施工现场设置施工围挡和警示标志，做好安全施工工作。按标准设置围挡，要整齐牢固、美观整洁，宣传内容齐全；标志标牌符合要求，指定安全责任人，确保安全生产；施工人员要按要求挂牌上岗，安全帽要设置统一标识。如达不到规定要求的，除按发包人的要求整改达标外，发包人有权扣除相应违约金。</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5）承包人应当从施工现场清除并运出剩余材料、垃圾及无用的装备设施，保持整个现场及工程整洁，达到监理工程师及发包人认为合格的使用状态。由于承包人未及时清理而发生的罚款、赔偿、纠纷等责任和费用应当由承包人承担，发包人可从承包人的任何款项中扣除</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6.1.4 关于治安保卫的特别约定：</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关于编制施工场地治安管理计划的约定：</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6.1.5 文明施工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合同当事人对文明施工的要求：</w:t>
      </w:r>
      <w:r>
        <w:rPr>
          <w:rFonts w:hint="eastAsia" w:ascii="宋体" w:hAnsi="宋体"/>
          <w:color w:val="auto"/>
          <w:szCs w:val="21"/>
          <w:highlight w:val="none"/>
          <w:u w:val="dotted"/>
        </w:rPr>
        <w:t xml:space="preserve"> 承包人应当按通用条款要求做好文明施工工作。宣传内容齐全，制定防尘降噪措施，如达不到规定要求的，除按发包人的要求整改达标外，发包人有权扣除相应违约金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6.1.6 关于安全文明施工费支付比例和支付期限的约定：</w:t>
      </w:r>
      <w:r>
        <w:rPr>
          <w:rFonts w:hint="eastAsia" w:ascii="宋体" w:hAnsi="宋体"/>
          <w:color w:val="auto"/>
          <w:szCs w:val="21"/>
          <w:highlight w:val="none"/>
          <w:u w:val="dotted"/>
        </w:rPr>
        <w:t>已包含在合同价款内，按工程进度款支付比例支付</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7.工期和进度</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7.1 施工组织设计</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rPr>
        <w:t>7.1.1 合同当事人约定的施工组织设计应当包括的其他内容：</w:t>
      </w:r>
      <w:r>
        <w:rPr>
          <w:rFonts w:hint="eastAsia" w:ascii="宋体" w:hAnsi="宋体"/>
          <w:color w:val="auto"/>
          <w:szCs w:val="21"/>
          <w:highlight w:val="none"/>
          <w:u w:val="dotted"/>
        </w:rPr>
        <w:t>承包人应当在合同生效后向发包人提交一份适合于整个工程的施工组织设计（含主要工序的施工方案）供发包人批准。该施工组织设计不应当低于随投标文件提交的施工组织设计内所说明的所有工程内容和承诺，而是对其进一步的细化及优化。在施工过程中，发包人有权要求承包人随时提出发包人认为必要的关于施工组织设计的任何说明或文件，承包人应当按要求提供。</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承包人应当按照经发包人批准的上述施工组织设计进行施工。但在任何情况下，发包人对上述任何施工组织设计的批准不应减轻或免除承包人对其应当负的责任</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7.1.2 施工组织设计的提交和修改</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rPr>
        <w:t>承包人提交详细施工组织设计的期限的约定：</w:t>
      </w:r>
      <w:r>
        <w:rPr>
          <w:rFonts w:hint="eastAsia" w:ascii="宋体" w:hAnsi="宋体"/>
          <w:color w:val="auto"/>
          <w:szCs w:val="21"/>
          <w:highlight w:val="none"/>
          <w:u w:val="dotted"/>
        </w:rPr>
        <w:t xml:space="preserve"> 承包人应当在</w:t>
      </w:r>
      <w:r>
        <w:rPr>
          <w:rFonts w:hint="eastAsia" w:ascii="宋体" w:hAnsi="宋体"/>
          <w:color w:val="auto"/>
          <w:szCs w:val="21"/>
          <w:highlight w:val="none"/>
          <w:u w:val="dotted"/>
          <w:lang w:eastAsia="zh-CN"/>
        </w:rPr>
        <w:t>项目</w:t>
      </w:r>
      <w:r>
        <w:rPr>
          <w:rFonts w:hint="eastAsia" w:ascii="宋体" w:hAnsi="宋体"/>
          <w:color w:val="auto"/>
          <w:szCs w:val="21"/>
          <w:highlight w:val="none"/>
          <w:u w:val="dotted"/>
        </w:rPr>
        <w:t>交底后5天内将施工组织设计和进度计划按发包人同意的格式和详细程度提报给发包人和监理工程师各一份，以获取发包人的批准。同时，还应当以书面形式提交一份为保证该进度计划而拟采用的方法和安排的说明，此工程进度计划不对报价文件做实质性变动，而是对其的进一步细化。</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 xml:space="preserve">为保证工程按期竣工，当工程的实际进度与已经批准的进度计划不符时，承包人应当根据发包人的要求修订原进度计划。同时，承包人要有必要和适当的措施来保证工程按照批准的进度计划或修订的进度计划进行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发包人和监理人在收到详细的施工组织设计后确认或提出修改意见的期限：</w:t>
      </w:r>
      <w:r>
        <w:rPr>
          <w:rFonts w:hint="eastAsia" w:ascii="宋体" w:hAnsi="宋体"/>
          <w:color w:val="auto"/>
          <w:szCs w:val="21"/>
          <w:highlight w:val="none"/>
          <w:u w:val="dotted"/>
        </w:rPr>
        <w:t xml:space="preserve"> 发包人和监理工程师收到后7天内应当予以确认或提出修改意见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7.2 施工进度计划</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7.2.2 施工进度计划的修订</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发包人和监理人在收到修订的施工进度计划后确认或提出修改意见的期限：</w:t>
      </w:r>
      <w:r>
        <w:rPr>
          <w:rFonts w:hint="eastAsia" w:ascii="宋体" w:hAnsi="宋体"/>
          <w:color w:val="auto"/>
          <w:szCs w:val="21"/>
          <w:highlight w:val="none"/>
          <w:u w:val="dotted"/>
        </w:rPr>
        <w:t xml:space="preserve"> 发包人和监理工程师收到后7天内应当予以确认或提出修改意见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7.3 开工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7.3.1 开工准备</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关于承包人提交工程开工报审表的期限：</w:t>
      </w:r>
      <w:r>
        <w:rPr>
          <w:rFonts w:hint="eastAsia" w:ascii="宋体" w:hAnsi="宋体"/>
          <w:color w:val="auto"/>
          <w:szCs w:val="21"/>
          <w:highlight w:val="none"/>
          <w:u w:val="dotted"/>
        </w:rPr>
        <w:t>合同签订后，开工前7日内</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关于发包人应当完成的其他开工准备工作及期限：</w:t>
      </w:r>
      <w:r>
        <w:rPr>
          <w:rFonts w:hint="eastAsia" w:ascii="宋体" w:hAnsi="宋体"/>
          <w:color w:val="auto"/>
          <w:szCs w:val="21"/>
          <w:highlight w:val="none"/>
          <w:u w:val="dotted"/>
        </w:rPr>
        <w:t xml:space="preserve">  开工前7日内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关于承包人应当完成的其他开工准备工作及期限：</w:t>
      </w:r>
      <w:r>
        <w:rPr>
          <w:rFonts w:hint="eastAsia" w:ascii="宋体" w:hAnsi="宋体"/>
          <w:color w:val="auto"/>
          <w:szCs w:val="21"/>
          <w:highlight w:val="none"/>
          <w:u w:val="dotted"/>
        </w:rPr>
        <w:t>开工前7日内</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7.3.2 开工通知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因发包人原因造成监理人未能在计划开工日期之日起</w:t>
      </w:r>
      <w:r>
        <w:rPr>
          <w:rFonts w:hint="eastAsia" w:ascii="宋体" w:hAnsi="宋体"/>
          <w:color w:val="auto"/>
          <w:szCs w:val="21"/>
          <w:highlight w:val="none"/>
          <w:u w:val="dotted"/>
        </w:rPr>
        <w:t>90</w:t>
      </w:r>
      <w:r>
        <w:rPr>
          <w:rFonts w:hint="eastAsia" w:ascii="宋体" w:hAnsi="宋体"/>
          <w:color w:val="auto"/>
          <w:szCs w:val="21"/>
          <w:highlight w:val="none"/>
        </w:rPr>
        <w:t>天内发出开工通知的，承包人有权提出价格调整要求，或者解除合同。</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7.4 测量放线</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7.4.1 发包人通过监理人向承包人提供测量基准点、基准线和水准点及其书面资料的期限：</w:t>
      </w:r>
      <w:r>
        <w:rPr>
          <w:rFonts w:hint="eastAsia" w:ascii="宋体" w:hAnsi="宋体"/>
          <w:color w:val="auto"/>
          <w:szCs w:val="21"/>
          <w:highlight w:val="none"/>
          <w:u w:val="dotted"/>
        </w:rPr>
        <w:t>开工前3天，以书面形式交给承包人，并现场交验</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7.5 工期延误</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7.5.1 因发包人原因导致工期延误</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（7）因发包人原因导致工期延误的其他情形：</w:t>
      </w:r>
      <w:r>
        <w:rPr>
          <w:rFonts w:hint="eastAsia" w:ascii="宋体" w:hAnsi="宋体"/>
          <w:color w:val="auto"/>
          <w:szCs w:val="21"/>
          <w:highlight w:val="none"/>
          <w:u w:val="dotted"/>
        </w:rPr>
        <w:t xml:space="preserve"> 延期开工和工期顺延的请求必须经发包人书面批复后生效。承包人不能因工期延长的申请未得到批准而暂停、拖延、放缓或停止施工 </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7.5.2 因承包人原因导致工期延误</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因承包人原因造成工期延误，逾期竣工违约金的计算方法为：</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u w:val="dotted"/>
        </w:rPr>
        <w:t>按每延迟一天（不足一天按一天计算）工程总造价的千分之一向分包人支付逾期违约金，发包人可以从应当向承包人支付的任何金额中扣除此项赔偿费或其他方式收回此款，此违约金的支付并不能解除承包人应当负的其他责任。承包人保证按批准的计划进度进行施工，若监理工程师发现实际进度与计划进度不符时，或认为本合同工程的进度过慢，可要求承包人增加人员和机械设备，或通知承包人采取必要的措施，以确保工程在合同规定的时期内完成，承包人不得无故拒绝，也无权要求为了采取这些措施而支付任何附加费用</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u w:val="dotted"/>
        </w:rPr>
        <w:t>如果承包人中间节点工期延误，但经承包人努力，总工期按期完工的，并且不影响专业分包工程和独立工程的施工时间，承包人所支付的节点工期违约金应当予返还</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u w:val="dotted"/>
        </w:rPr>
        <w:t>如果承包人支付给发包人的误期违约金总额不足以弥补因承包人误期竣工给发包人造成的损失，并且该损失是任何有经验承包人在订立合同时预见到或应当预见到的，承包人应当另行向发包人支付赔偿金。赔偿金的数额以补足误期违约金与上述损失间的不足部分为限</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u w:val="dotted"/>
        </w:rPr>
        <w:t>承包人工期延误时如果发包人确认工期已无法最终满足合同要求，发包人有权单方解除施工承包合同。合同解除并不影响承包人承担违约责任</w:t>
      </w:r>
      <w:r>
        <w:rPr>
          <w:rFonts w:hint="eastAsia" w:ascii="宋体" w:hAnsi="宋体"/>
          <w:color w:val="auto"/>
          <w:szCs w:val="21"/>
          <w:highlight w:val="none"/>
        </w:rPr>
        <w:t>。</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u w:val="dotted"/>
        </w:rPr>
        <w:t>如达不到约定质量标准，承包人应当采取返工、修理等补救措施使工程质量达到约定的质量标准，并承担所支付的一切费用。因此给发包人造成相应损失由承包人承担，返工期间工期不予顺延，并赔偿发包人的合理损失。</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承包人原因造成工期延误，逾期竣工违约金的上限：</w:t>
      </w:r>
      <w:r>
        <w:rPr>
          <w:rFonts w:hint="eastAsia" w:ascii="宋体" w:hAnsi="宋体"/>
          <w:color w:val="auto"/>
          <w:szCs w:val="21"/>
          <w:highlight w:val="none"/>
          <w:u w:val="dotted"/>
        </w:rPr>
        <w:t>合同价的5%</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7.6 不利物质条件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不利物质条件的其他情形和有关约定：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7.7 异常恶劣的气候条件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发包人和承包人同意以下情形视为异常恶劣的气候条件：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dotted"/>
        </w:rPr>
        <w:t>50年以上一遇的气候灾害，以国家气象部门公开发布的信息为准</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7.9 提前竣工的奖励</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7.9.2 提前竣工的奖励：</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8.材料与设备</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8.2 承包人采购材料与工程设备</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①主要材料，承包人应当在整体装饰装修材料进场20日前向发包人递交2个及以上材料品牌、质量证明及样品。发包人和监理人10日内签认；所有材料应当选用符合国家节能、环保要求的优质的一线品牌材料、设备,具有一定生产规模和市场信誉度好的厂家与品牌，有生产合格证和质保书，符合国家规定的质量标准。由发包人决定是否参与采购。实际采购的材料、设备档次不得低于采购项目预算材料汇总表中所对应材料价格或公布的暂估价所能采购到的材料、设备的档次标准。</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②</w:t>
      </w:r>
      <w:r>
        <w:rPr>
          <w:rFonts w:hint="eastAsia" w:ascii="宋体" w:hAnsi="宋体"/>
          <w:color w:val="auto"/>
          <w:szCs w:val="21"/>
          <w:highlight w:val="none"/>
          <w:u w:val="dotted"/>
        </w:rPr>
        <w:t>所有材料批量进场时须按规范规定进行见证取样检验，并经发包人验收，未经发包人验收或验收不合格的材料，承包人不得使用，如果承包人私自使用，发包人有权要求承包人无偿拆除并重新施工；所有材料进场检验的费用均由承包人负责</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③</w:t>
      </w:r>
      <w:r>
        <w:rPr>
          <w:rFonts w:hint="eastAsia" w:ascii="宋体" w:hAnsi="宋体"/>
          <w:color w:val="auto"/>
          <w:szCs w:val="21"/>
          <w:highlight w:val="none"/>
          <w:u w:val="dotted"/>
        </w:rPr>
        <w:t>合同价格还应当包含材料检验、检测费用</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w:t>
      </w:r>
      <w:r>
        <w:rPr>
          <w:rFonts w:hint="eastAsia" w:ascii="宋体" w:hAnsi="宋体"/>
          <w:color w:val="auto"/>
          <w:szCs w:val="21"/>
          <w:highlight w:val="none"/>
          <w:u w:val="dotted"/>
        </w:rPr>
        <w:t>图纸范围以内(除材料暂估单价表外)的其他材料价格承包人方应当自行考虑材料涨价、保管、运输等一切风险，风险考虑时间为施工期间。所购材料，必须满足设计要求、规范要求及当地质量监督部门的有关规定</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8.4 材料与工程设备的保管与使用</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8.4.1 发包人供应的材料设备的保管费用的承担：</w:t>
      </w:r>
      <w:r>
        <w:rPr>
          <w:rFonts w:hint="eastAsia" w:ascii="宋体" w:hAnsi="宋体"/>
          <w:color w:val="auto"/>
          <w:szCs w:val="21"/>
          <w:highlight w:val="none"/>
          <w:u w:val="dotted"/>
        </w:rPr>
        <w:t>由承包人承担</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8.6 样品</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8.6.1 样品的报送与封存</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需要承包人报送样品的材料或工程设备，样品的种类、名称、规格、数量要求：</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根据实际情况确定。包括但不限于在合同中列明的以及虽然合同中没有列明，但合同中对其质量标准、性能、规格、档次、厂家或品牌有要求或约定的材料和设备，承包人应当加工定货时至少提前6天，向发包人提交样品并附上任何必要的说明书、证书、出厂报告、性能介绍、使用说明等相关资料，以供检验和审批。样品送达的地点和样品的数量或尺寸应当符合发包人的要求。</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除非合同中另有约定，承包人在报送任何样品时应当按发包人同意的格式填写并递交样品报送单。</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发包人在收到样品后7天内就此样品给出书面批复，通知承包人他对此样品所做出的决定或指示。承包人应当根据发包人的书面批复和指示相应地进行下一步工作。如果发包人未能在承包人报送样品后14天内给出书面批复，承包人应当就此通知发包人尽快批复。如果发包人在收到此类通知后7天内仍未对样品进行批复，则视为发包人已经批准。</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得到批准后的样品按发包人要求的数量进行封样后由各方负责存放。但承包人应当为保存样品提供适当和固定的场所并保持适当和良好的环境条件。提供样品和提供存放样品场所的费用由承包人承担（样品须发包人确认签字）。</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8.8 施工设备和临时设施</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8.8.1 承包人提供的施工设备和临时设施</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关于修建临时设施费用承担的约定：</w:t>
      </w:r>
      <w:r>
        <w:rPr>
          <w:rFonts w:hint="eastAsia" w:ascii="宋体" w:hAnsi="宋体"/>
          <w:color w:val="auto"/>
          <w:szCs w:val="21"/>
          <w:highlight w:val="none"/>
          <w:u w:val="dotted"/>
        </w:rPr>
        <w:t xml:space="preserve"> 由承包人承担，已包含在工程量清单报价中</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9.试验与检验</w:t>
      </w:r>
    </w:p>
    <w:p>
      <w:pPr>
        <w:adjustRightInd w:val="0"/>
        <w:snapToGrid w:val="0"/>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试验与检验费用的约定：</w:t>
      </w:r>
      <w:r>
        <w:rPr>
          <w:rFonts w:hint="eastAsia" w:ascii="宋体" w:hAnsi="宋体"/>
          <w:color w:val="auto"/>
          <w:szCs w:val="21"/>
          <w:highlight w:val="none"/>
          <w:u w:val="dotted"/>
        </w:rPr>
        <w:t>承包人合同范围内的工程内容所需进行的材料、构配件、工程设备和工程试验和检验，均由承包人负责办理 ，并按承担相关费用</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10.变更</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10.1 变更的范围</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关于变更的范围的约定：</w:t>
      </w:r>
      <w:r>
        <w:rPr>
          <w:rFonts w:hint="eastAsia" w:ascii="宋体" w:hAnsi="宋体"/>
          <w:color w:val="auto"/>
          <w:szCs w:val="21"/>
          <w:highlight w:val="none"/>
          <w:u w:val="dotted"/>
        </w:rPr>
        <w:t xml:space="preserve">工程变更仅指设计修改通知、修改图或图纸会审记录（须经设计单位及发包人盖章确认）以及现场签证（须经发包人和监理工程师签字盖章），除此以外的任何形式等均不作为工程变更的依据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10.4 变更估价</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10.4.1 变更估价原则</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关于变更估价的约定：</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（1）清单中已有适用于变更工程的价格，按清单已有的价格变更清单价款；</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（2）清单中只有类似于变更工程的价格，可以参照类似价格变更清单价款；</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（3）清单中没有适用或类似于变更工程的价格，其造价按如下方式确定：</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除执行通用条款相关规定外，同时约定如下：按项目实施期间国家和地方计价文件及规则计价后，总价优惠不少于6%（人工工资单价优惠后低于湖南省建设行政主管部门发布的建设工程最新&lt;低&gt;人工工资单价的，按最新&lt;低&gt;人工工资单价计算；由发包人确定并签证的主材价格的子目，不做此优惠），主材价格按市场采购价计；</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4）新增加的工作内容中，原清单中没有的子目，且不能核定综合单价的，原清单中已有的材料执行原中标材料价格，原清单中没有的材料（如新材料），按市场采购价计。本工程的主要材料，发包人有提出更换的权力，因发包人提出材料变更导致材料产生差价的，发包人给予找补差价，但差价不再参与取费，仅计取规费及税金。</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（5）措施费包干使用，结算时不再调整，清单编制说明里面注明的除外；</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（6）投标报价中的规费、税金为不可竞争费用，应当按相应规定足额计取。</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10.5 承包人的合理化建议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监理人审查承包人合理化建议的期限：</w:t>
      </w:r>
      <w:r>
        <w:rPr>
          <w:rFonts w:hint="eastAsia" w:ascii="宋体" w:hAnsi="宋体"/>
          <w:color w:val="auto"/>
          <w:szCs w:val="21"/>
          <w:highlight w:val="none"/>
          <w:u w:val="dotted"/>
        </w:rPr>
        <w:t>收到承包人提交的合理化建议后 3天内</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发包人审批承包人合理化建议的期限：</w:t>
      </w:r>
      <w:r>
        <w:rPr>
          <w:rFonts w:hint="eastAsia" w:ascii="宋体" w:hAnsi="宋体"/>
          <w:color w:val="auto"/>
          <w:szCs w:val="21"/>
          <w:highlight w:val="none"/>
          <w:u w:val="dotted"/>
        </w:rPr>
        <w:t>收到监理人报送的合理化建议后 3天内</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承包人提出的合理化建议降低了合同价格或者提高了工程经济效益的奖励的方法和金额为：</w:t>
      </w:r>
      <w:r>
        <w:rPr>
          <w:rFonts w:hint="eastAsia" w:ascii="宋体" w:hAnsi="宋体"/>
          <w:color w:val="auto"/>
          <w:szCs w:val="21"/>
          <w:highlight w:val="none"/>
          <w:u w:val="dotted"/>
        </w:rPr>
        <w:t xml:space="preserve">双方另行约定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10.7 暂估价</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暂估价材料和工程设备的明细详见附件 11：《暂估价一览表》。</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10.7.1 依法必须采购的暂估价项目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对于依法必须采购的暂估价项目的确认和批准采取第</w:t>
      </w:r>
      <w:r>
        <w:rPr>
          <w:rFonts w:hint="eastAsia" w:ascii="宋体" w:hAnsi="宋体"/>
          <w:color w:val="auto"/>
          <w:szCs w:val="21"/>
          <w:highlight w:val="none"/>
          <w:u w:val="dotted"/>
        </w:rPr>
        <w:t xml:space="preserve"> / </w:t>
      </w:r>
      <w:r>
        <w:rPr>
          <w:rFonts w:hint="eastAsia" w:ascii="宋体" w:hAnsi="宋体"/>
          <w:color w:val="auto"/>
          <w:szCs w:val="21"/>
          <w:highlight w:val="none"/>
        </w:rPr>
        <w:t>种方式确定。</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10.7.2 不属于依法必须采购的暂估价项目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对于不属于依法必须采购的暂估价项目的确认和批准采取第</w:t>
      </w:r>
      <w:r>
        <w:rPr>
          <w:rFonts w:hint="eastAsia" w:ascii="宋体" w:hAnsi="宋体"/>
          <w:color w:val="auto"/>
          <w:szCs w:val="21"/>
          <w:highlight w:val="none"/>
          <w:u w:val="dotted"/>
        </w:rPr>
        <w:t xml:space="preserve">  1  </w:t>
      </w:r>
      <w:r>
        <w:rPr>
          <w:rFonts w:hint="eastAsia" w:ascii="宋体" w:hAnsi="宋体"/>
          <w:color w:val="auto"/>
          <w:szCs w:val="21"/>
          <w:highlight w:val="none"/>
        </w:rPr>
        <w:t>种方式确定。</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第 3 种方式：承包人直接实施的暂估价项目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承包人直接实施的暂估价项目的约定：</w:t>
      </w:r>
      <w:r>
        <w:rPr>
          <w:rFonts w:hint="eastAsia" w:ascii="宋体" w:hAnsi="宋体"/>
          <w:color w:val="auto"/>
          <w:szCs w:val="21"/>
          <w:highlight w:val="none"/>
          <w:u w:val="dotted"/>
        </w:rPr>
        <w:t xml:space="preserve">  必须经发包人认可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10.8 暂列金额</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合同当事人关于暂列金额使用的约定：</w:t>
      </w:r>
      <w:r>
        <w:rPr>
          <w:rFonts w:hint="eastAsia" w:ascii="宋体" w:hAnsi="宋体"/>
          <w:color w:val="auto"/>
          <w:szCs w:val="21"/>
          <w:highlight w:val="none"/>
          <w:u w:val="dotted"/>
        </w:rPr>
        <w:t>按照发包人的要求使用；暂列金额结算：主材价格按发包人认可的市场采购价，总价按上述第10.4.1款的结算办法总价优惠6%后进行结算。</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11.价格调整</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11.1 市场价格波动引起的调整</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市场价格波动是否调整合同价格的约定：</w:t>
      </w:r>
      <w:r>
        <w:rPr>
          <w:rFonts w:hint="eastAsia" w:ascii="宋体" w:hAnsi="宋体"/>
          <w:color w:val="auto"/>
          <w:szCs w:val="21"/>
          <w:highlight w:val="none"/>
          <w:u w:val="dotted"/>
        </w:rPr>
        <w:t xml:space="preserve">不调整。 </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因市场价格波动调整合同价格，采用以下第</w:t>
      </w:r>
      <w:r>
        <w:rPr>
          <w:rFonts w:hint="eastAsia" w:ascii="宋体" w:hAnsi="宋体"/>
          <w:color w:val="auto"/>
          <w:szCs w:val="21"/>
          <w:highlight w:val="none"/>
          <w:u w:val="dotted"/>
        </w:rPr>
        <w:t xml:space="preserve"> /  </w:t>
      </w:r>
      <w:r>
        <w:rPr>
          <w:rFonts w:hint="eastAsia" w:ascii="宋体" w:hAnsi="宋体"/>
          <w:color w:val="auto"/>
          <w:szCs w:val="21"/>
          <w:highlight w:val="none"/>
        </w:rPr>
        <w:t>种方式对合同价格进行调整：</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第 1 种方式：采用价格指数进行价格调整。</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关于各可调因子、定值和变值权重，以及基本价格指数及其来源的约定：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第 2 种方式：采用造价信息进行价格调整。</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（2）关于基准价格的约定：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①承包人在已标价工程量清单或报价文件中载明的材料、工程设备单价在合同履行期间涨、跌幅以基准价格为基础超过±</w:t>
      </w:r>
      <w:r>
        <w:rPr>
          <w:rFonts w:hint="eastAsia" w:ascii="宋体" w:hAnsi="宋体"/>
          <w:color w:val="auto"/>
          <w:szCs w:val="21"/>
          <w:highlight w:val="none"/>
          <w:u w:val="dotted"/>
        </w:rPr>
        <w:t>/</w:t>
      </w:r>
      <w:r>
        <w:rPr>
          <w:rFonts w:hint="eastAsia" w:ascii="宋体" w:hAnsi="宋体"/>
          <w:color w:val="auto"/>
          <w:szCs w:val="21"/>
          <w:highlight w:val="none"/>
        </w:rPr>
        <w:t>%时，按投标价格进行同比例调整。</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②承包人在投标报价中载明的材料、工程设备单价在合同履行期间涨、跌幅超过省及各市州建设行政主管部门各期间发布的预算价格的±</w:t>
      </w:r>
      <w:r>
        <w:rPr>
          <w:rFonts w:hint="eastAsia" w:ascii="宋体" w:hAnsi="宋体"/>
          <w:color w:val="auto"/>
          <w:szCs w:val="21"/>
          <w:highlight w:val="none"/>
          <w:u w:val="dotted"/>
        </w:rPr>
        <w:t xml:space="preserve"> /</w:t>
      </w:r>
      <w:r>
        <w:rPr>
          <w:rFonts w:hint="eastAsia" w:ascii="宋体" w:hAnsi="宋体"/>
          <w:color w:val="auto"/>
          <w:szCs w:val="21"/>
          <w:highlight w:val="none"/>
        </w:rPr>
        <w:t>%时，投标价格同比例调整。</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第 3 种方式： 其他价格调整方式：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12.合同价格、计量与支付</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12.1 合同价格形式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1.单价合同。</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综合单价包含的风险范围：</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风险费用的计算方法：</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风险范围以外合同价格的调整方法：</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2.总价合同。</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总价包含的风险范围：</w:t>
      </w:r>
      <w:r>
        <w:rPr>
          <w:rFonts w:hint="eastAsia" w:ascii="宋体" w:hAnsi="宋体"/>
          <w:color w:val="auto"/>
          <w:szCs w:val="21"/>
          <w:highlight w:val="none"/>
          <w:u w:val="dotted"/>
        </w:rPr>
        <w:t>1、国家法律、法规、规章和政策发生变化的风险；2、省级或行政建设主管部门发布的人工费调整的风险；3、由政府定价或政府指导价管理的原材料等价格进行了调整的风险；4、承包人使用的机械设备、施工技术以及自身组织管理水平的风险；5、图纸中已有设计，但工程量清单中未列的所有工程内容及工程量清单中少算的工程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风险费用的计算方法：</w:t>
      </w:r>
      <w:r>
        <w:rPr>
          <w:rFonts w:hint="eastAsia" w:ascii="宋体" w:hAnsi="宋体"/>
          <w:color w:val="auto"/>
          <w:szCs w:val="21"/>
          <w:highlight w:val="none"/>
          <w:u w:val="dotted"/>
        </w:rPr>
        <w:t>①人工费调整办法：政府调整后的最新(低)人工工资单价低于投标报价的，不调整；高于投标报价的，按调整后的最新(低)人工工资单价执行；②承包人使用的机械设备、施工技术以及自身组织管理水平等自身原因造成施工费用增加的，由承包人自行承担；③图纸中已有设计，但工程量清单中未列的所有工程内容及工程量清单中少算的工程量，由承包人自行承担</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风险范围以外合同价格的调整方法：</w:t>
      </w:r>
    </w:p>
    <w:p>
      <w:pPr>
        <w:pStyle w:val="72"/>
        <w:adjustRightInd w:val="0"/>
        <w:snapToGrid w:val="0"/>
        <w:spacing w:line="360" w:lineRule="auto"/>
        <w:rPr>
          <w:rFonts w:ascii="宋体" w:hAnsi="宋体"/>
          <w:color w:val="auto"/>
          <w:szCs w:val="21"/>
          <w:highlight w:val="none"/>
          <w:u w:val="dotted"/>
        </w:rPr>
      </w:pPr>
      <w:r>
        <w:rPr>
          <w:rFonts w:hint="eastAsia" w:ascii="宋体" w:hAnsi="宋体"/>
          <w:color w:val="auto"/>
          <w:szCs w:val="21"/>
          <w:highlight w:val="none"/>
          <w:u w:val="dotted"/>
        </w:rPr>
        <w:t>（1）设计变更的调整，执行10.4条款。</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（2）暂估价项目</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u w:val="dotted"/>
        </w:rPr>
        <w:t>暂估价项目的调整方法是结算时全部扣除（含税金），并按发包人确认的价格计入结算金额（含税金），价格确认方法参考工程变更。需要另行采购的暂估价项目由发包人和承包人共同采购，承包人需配合审批盖章，审批盖章时间不能超过五日，否则每超出一日支付违约金5万元。</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3）承包人的投标报价总价应当与分部分项工程费、措施项目费、其他项目费和规费、税金的合计金额正确一致，各部分的合计金额应当与其中的各分项之和正确一致。如果在中标后，以至于竣工结算时，发现仍存在以上问题时，发包人有权做出判断，承包人必须无条件服从。</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（4）发包人有权根据工程实际情况，调整承包人工程施工范围。发包人施工前若取消采购中某项特别施工内容，承包人应当无条件接受，并在总价中调减有关费用。</w:t>
      </w:r>
    </w:p>
    <w:p>
      <w:pPr>
        <w:adjustRightInd w:val="0"/>
        <w:snapToGrid w:val="0"/>
        <w:spacing w:line="360" w:lineRule="auto"/>
        <w:ind w:firstLine="420" w:firstLineChars="200"/>
        <w:rPr>
          <w:rFonts w:ascii="宋体" w:hAnsi="宋体"/>
          <w:color w:val="auto"/>
          <w:szCs w:val="21"/>
          <w:highlight w:val="none"/>
          <w:u w:val="dotted"/>
        </w:rPr>
      </w:pPr>
      <w:r>
        <w:rPr>
          <w:rFonts w:hint="eastAsia" w:ascii="宋体" w:hAnsi="宋体"/>
          <w:color w:val="auto"/>
          <w:szCs w:val="21"/>
          <w:highlight w:val="none"/>
          <w:u w:val="dotted"/>
        </w:rPr>
        <w:t>（5）本工程总包服务费为对应的专业工程结算金额的3%（不含设备费）以内、税金按现有最新税收法规由承包人与分包方协商，支付方式由承包人与分包方自行确定，但结算时须有专业施工单位签字确认的资料方可进行总结算。承包人必须配合好其他专业单位施工，承包人在配合专业施工时对总合同发生的工期影响已包含在总工期内，不另增补工期。如施工中发生配合不力、互相扯皮现象，按每发现一次，从工程款中按违约责任扣承包人5000.00元，性质恶劣、影响项目实施的，发包人有权终止与承包人签订的施工合同，由此导致承包人已施工项目不予结算的结果，承包人不得异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3.其他价格方式：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12.2 预付款</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12.2.1 预付款的支付</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预付款支付比例或金额：</w:t>
      </w:r>
      <w:r>
        <w:rPr>
          <w:rFonts w:hint="eastAsia" w:ascii="宋体" w:hAnsi="宋体"/>
          <w:color w:val="auto"/>
          <w:szCs w:val="21"/>
          <w:highlight w:val="none"/>
          <w:u w:val="single"/>
        </w:rPr>
        <w:t xml:space="preserve">    /    </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预付款支付期限：</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预付款扣回的方式：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12.2.2 预付款担保</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承包人提交预付款担保的期限：</w:t>
      </w:r>
      <w:r>
        <w:rPr>
          <w:rFonts w:hint="eastAsia" w:ascii="宋体" w:hAnsi="宋体"/>
          <w:color w:val="auto"/>
          <w:szCs w:val="21"/>
          <w:highlight w:val="none"/>
          <w:u w:val="dotted"/>
        </w:rPr>
        <w:t xml:space="preserve"> 在预付款完全扣回之前，承包人应当保证预付款担保持续有效</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预付款担保的形式为：</w:t>
      </w:r>
      <w:r>
        <w:rPr>
          <w:rFonts w:hint="eastAsia" w:ascii="宋体" w:hAnsi="宋体"/>
          <w:color w:val="auto"/>
          <w:szCs w:val="21"/>
          <w:highlight w:val="none"/>
          <w:u w:val="dotted"/>
        </w:rPr>
        <w:t xml:space="preserve"> 银行保函</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12.3 计量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12.3.1 计量原则</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工程量计算规则：</w:t>
      </w:r>
      <w:r>
        <w:rPr>
          <w:rFonts w:hint="eastAsia" w:ascii="宋体" w:hAnsi="宋体"/>
          <w:color w:val="auto"/>
          <w:szCs w:val="21"/>
          <w:highlight w:val="none"/>
          <w:u w:val="dotted"/>
        </w:rPr>
        <w:t xml:space="preserve">  国家标准、 行业标准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12.3.2 计量周期</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关于计量周期的约定：</w:t>
      </w:r>
      <w:r>
        <w:rPr>
          <w:rFonts w:hint="eastAsia" w:ascii="宋体" w:hAnsi="宋体"/>
          <w:color w:val="auto"/>
          <w:szCs w:val="21"/>
          <w:highlight w:val="none"/>
          <w:u w:val="dotted"/>
        </w:rPr>
        <w:t xml:space="preserve">  按月  </w:t>
      </w:r>
      <w:r>
        <w:rPr>
          <w:rFonts w:hint="eastAsia" w:ascii="宋体" w:hAnsi="宋体"/>
          <w:color w:val="auto"/>
          <w:szCs w:val="21"/>
          <w:highlight w:val="none"/>
        </w:rPr>
        <w:t xml:space="preserve"> 。</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12.3.3 单价合同的计量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关于单价合同计量的约定：</w:t>
      </w:r>
      <w:r>
        <w:rPr>
          <w:rFonts w:hint="eastAsia" w:ascii="宋体" w:hAnsi="宋体"/>
          <w:color w:val="auto"/>
          <w:szCs w:val="21"/>
          <w:highlight w:val="none"/>
          <w:u w:val="dotted"/>
        </w:rPr>
        <w:t>按通用条款。</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12.3.4 总价合同的计量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关于总价合同计量的约定：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12.3.5 总价合同采用支付分解表计量支付的，是否适用第 12.3.4项 〔总价合同的计量〕 约定进行计量：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12.3.6 其他价格形式合同的计量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其他价格形式的计量方式和程序：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12.4 工程进度款支付</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12.4.1 付款周期</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关于付款周期的约定：</w:t>
      </w:r>
    </w:p>
    <w:p>
      <w:pPr>
        <w:adjustRightInd w:val="0"/>
        <w:snapToGrid w:val="0"/>
        <w:spacing w:line="360" w:lineRule="auto"/>
        <w:ind w:firstLine="525" w:firstLineChars="250"/>
        <w:rPr>
          <w:rFonts w:ascii="宋体" w:hAnsi="宋体"/>
          <w:bCs/>
          <w:color w:val="auto"/>
          <w:szCs w:val="21"/>
          <w:highlight w:val="none"/>
          <w:u w:val="dotted"/>
        </w:rPr>
      </w:pPr>
      <w:r>
        <w:rPr>
          <w:rFonts w:hint="eastAsia" w:ascii="宋体" w:hAnsi="宋体"/>
          <w:bCs/>
          <w:color w:val="auto"/>
          <w:szCs w:val="21"/>
          <w:highlight w:val="none"/>
          <w:u w:val="dotted"/>
        </w:rPr>
        <w:t>（1）项目完成竣工验收合格，提交完成的施工竣工资料给采购人，经决算审计确认后30日内，支付至结算审计金额的97%；</w:t>
      </w:r>
    </w:p>
    <w:p>
      <w:pPr>
        <w:adjustRightInd w:val="0"/>
        <w:snapToGrid w:val="0"/>
        <w:spacing w:line="360" w:lineRule="auto"/>
        <w:ind w:firstLine="525" w:firstLineChars="250"/>
        <w:rPr>
          <w:rFonts w:ascii="宋体" w:hAnsi="宋体"/>
          <w:bCs/>
          <w:color w:val="auto"/>
          <w:szCs w:val="21"/>
          <w:highlight w:val="none"/>
          <w:u w:val="dotted"/>
        </w:rPr>
      </w:pPr>
      <w:r>
        <w:rPr>
          <w:rFonts w:hint="eastAsia" w:ascii="宋体" w:hAnsi="宋体"/>
          <w:bCs/>
          <w:color w:val="auto"/>
          <w:szCs w:val="21"/>
          <w:highlight w:val="none"/>
          <w:u w:val="dotted"/>
        </w:rPr>
        <w:t>（2）3%的质保金在无项目质量问题或有问题但成交供应商已按规定修复，保修期满后15个工作日内，一次性支付；</w:t>
      </w:r>
    </w:p>
    <w:p>
      <w:pPr>
        <w:adjustRightInd w:val="0"/>
        <w:snapToGrid w:val="0"/>
        <w:spacing w:line="360" w:lineRule="auto"/>
        <w:ind w:firstLine="525" w:firstLineChars="250"/>
        <w:rPr>
          <w:rFonts w:ascii="宋体" w:hAnsi="宋体"/>
          <w:bCs/>
          <w:color w:val="auto"/>
          <w:szCs w:val="21"/>
          <w:highlight w:val="none"/>
          <w:u w:val="dotted"/>
        </w:rPr>
      </w:pPr>
      <w:r>
        <w:rPr>
          <w:rFonts w:hint="eastAsia" w:ascii="宋体" w:hAnsi="宋体"/>
          <w:bCs/>
          <w:color w:val="auto"/>
          <w:szCs w:val="21"/>
          <w:highlight w:val="none"/>
          <w:u w:val="dotted"/>
        </w:rPr>
        <w:t>（3）每次付款必须由成交供应商开具正式税务发票，第一次付款发票须含3%的质保金；</w:t>
      </w:r>
    </w:p>
    <w:p>
      <w:pPr>
        <w:adjustRightInd w:val="0"/>
        <w:snapToGrid w:val="0"/>
        <w:spacing w:line="360" w:lineRule="auto"/>
        <w:ind w:firstLine="525" w:firstLineChars="250"/>
        <w:rPr>
          <w:rFonts w:ascii="宋体" w:hAnsi="宋体"/>
          <w:bCs/>
          <w:color w:val="auto"/>
          <w:szCs w:val="21"/>
          <w:highlight w:val="none"/>
          <w:u w:val="dotted"/>
        </w:rPr>
      </w:pPr>
      <w:r>
        <w:rPr>
          <w:rFonts w:hint="eastAsia" w:ascii="宋体" w:hAnsi="宋体"/>
          <w:bCs/>
          <w:color w:val="auto"/>
          <w:szCs w:val="21"/>
          <w:highlight w:val="none"/>
          <w:u w:val="dotted"/>
        </w:rPr>
        <w:t>（4）所有款项支付均不计利息；</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12.4.2 进度付款申请单的编制关于进度付款申请单编制的约定：</w:t>
      </w:r>
      <w:r>
        <w:rPr>
          <w:rFonts w:hint="eastAsia" w:ascii="宋体" w:hAnsi="宋体"/>
          <w:color w:val="auto"/>
          <w:szCs w:val="21"/>
          <w:highlight w:val="none"/>
          <w:u w:val="dotted"/>
        </w:rPr>
        <w:t>按通用条款</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12.4.3 进度付款申请单的提交</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（1）单价合同进度付款申请单提交的约定：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（2）总价合同进度付款申请单提交的约定：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（3）其他价格形式合同进度付款申请单提交的约定：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12.4.4 进度款审核和支付</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 监理人审查并报送发包人的期限：</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发包人完成审批并签发进度款支付证书的期限：</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（2）发包人支付进度款的期限：</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发包人逾期支付进度款的违约金的计算方式：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12.4.6 支付分解表的编制</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2.总价合同支付分解表的编制与审批：</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3.单价合同的总价项目支付分解表的编制与审批：</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13.验收和工程试车</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13.1 分部分项工程验收</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13.1.2 监理人不能按时进行验收时，应当提前</w:t>
      </w:r>
      <w:r>
        <w:rPr>
          <w:rFonts w:hint="eastAsia" w:ascii="宋体" w:hAnsi="宋体"/>
          <w:color w:val="auto"/>
          <w:szCs w:val="21"/>
          <w:highlight w:val="none"/>
          <w:u w:val="dotted"/>
        </w:rPr>
        <w:t xml:space="preserve"> 24 </w:t>
      </w:r>
      <w:r>
        <w:rPr>
          <w:rFonts w:hint="eastAsia" w:ascii="宋体" w:hAnsi="宋体"/>
          <w:color w:val="auto"/>
          <w:szCs w:val="21"/>
          <w:highlight w:val="none"/>
        </w:rPr>
        <w:t>小时提交书面延期要求。</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关于延期最长不得超过：</w:t>
      </w:r>
      <w:r>
        <w:rPr>
          <w:rFonts w:hint="eastAsia" w:ascii="宋体" w:hAnsi="宋体"/>
          <w:color w:val="auto"/>
          <w:szCs w:val="21"/>
          <w:highlight w:val="none"/>
          <w:u w:val="dotted"/>
        </w:rPr>
        <w:t xml:space="preserve"> 48 </w:t>
      </w:r>
      <w:r>
        <w:rPr>
          <w:rFonts w:hint="eastAsia" w:ascii="宋体" w:hAnsi="宋体"/>
          <w:color w:val="auto"/>
          <w:szCs w:val="21"/>
          <w:highlight w:val="none"/>
        </w:rPr>
        <w:t>小时。</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13.2 竣工验收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13.2.2 竣工验收程序</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关于竣工验收程序的约定：</w:t>
      </w:r>
      <w:r>
        <w:rPr>
          <w:rFonts w:hint="eastAsia" w:ascii="宋体" w:hAnsi="宋体"/>
          <w:color w:val="auto"/>
          <w:szCs w:val="21"/>
          <w:highlight w:val="none"/>
          <w:u w:val="dotted"/>
        </w:rPr>
        <w:t>承包人按规范、设计文件等完成合同内的所有工作；全部工程（含资料）自检验收完毕后，向监理公司及发包人提交竣工验收申请报告；监理公司初验合格后，按程序组织竣工验收。工程竣工验收前15日内向发包人提供完整的竣工资料、竣工图各两份</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发包人不按照本项约定组织竣工验收、颁发工程接收证书的违约金的计算方法：</w:t>
      </w:r>
      <w:r>
        <w:rPr>
          <w:rFonts w:hint="eastAsia" w:ascii="宋体" w:hAnsi="宋体"/>
          <w:color w:val="auto"/>
          <w:szCs w:val="21"/>
          <w:highlight w:val="none"/>
          <w:u w:val="dotted"/>
        </w:rPr>
        <w:t>按通用条款执行</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13.2.5 移交、接收全部与部分工程</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承包人向发包人移交工程的期限：</w:t>
      </w:r>
      <w:r>
        <w:rPr>
          <w:rFonts w:hint="eastAsia" w:ascii="宋体" w:hAnsi="宋体"/>
          <w:color w:val="auto"/>
          <w:szCs w:val="21"/>
          <w:highlight w:val="none"/>
          <w:u w:val="dotted"/>
        </w:rPr>
        <w:t xml:space="preserve"> 颁发工程接收证书后3天内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发包人未按本合同约定接收全部或部分工程的，违约金的计算方法为：</w:t>
      </w:r>
      <w:r>
        <w:rPr>
          <w:rFonts w:hint="eastAsia" w:ascii="宋体" w:hAnsi="宋体"/>
          <w:color w:val="auto"/>
          <w:szCs w:val="21"/>
          <w:highlight w:val="none"/>
          <w:u w:val="dotted"/>
        </w:rPr>
        <w:t xml:space="preserve"> 双方约定 </w:t>
      </w:r>
      <w:r>
        <w:rPr>
          <w:rFonts w:hint="eastAsia" w:ascii="宋体" w:hAnsi="宋体"/>
          <w:color w:val="auto"/>
          <w:szCs w:val="21"/>
          <w:highlight w:val="none"/>
        </w:rPr>
        <w:t>。</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承包人未按时移交工程的，违约金的计算方法为：</w:t>
      </w:r>
      <w:r>
        <w:rPr>
          <w:rFonts w:hint="eastAsia" w:ascii="宋体" w:hAnsi="宋体"/>
          <w:color w:val="auto"/>
          <w:szCs w:val="21"/>
          <w:highlight w:val="none"/>
          <w:u w:val="dotted"/>
        </w:rPr>
        <w:t>每延期一天支付合同额1‰的违约金</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13.3 工程试车</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13.3.1 试车程序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工程试车内容：</w:t>
      </w:r>
      <w:r>
        <w:rPr>
          <w:rFonts w:hint="eastAsia" w:ascii="宋体" w:hAnsi="宋体"/>
          <w:color w:val="auto"/>
          <w:szCs w:val="21"/>
          <w:highlight w:val="none"/>
          <w:u w:val="dotted"/>
        </w:rPr>
        <w:t>与承包人承包范围相一致</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（1）单机无负荷试车费用由</w:t>
      </w:r>
      <w:r>
        <w:rPr>
          <w:rFonts w:hint="eastAsia" w:ascii="宋体" w:hAnsi="宋体"/>
          <w:color w:val="auto"/>
          <w:szCs w:val="21"/>
          <w:highlight w:val="none"/>
          <w:u w:val="dotted"/>
        </w:rPr>
        <w:t xml:space="preserve"> 承包人 </w:t>
      </w:r>
      <w:r>
        <w:rPr>
          <w:rFonts w:hint="eastAsia" w:ascii="宋体" w:hAnsi="宋体"/>
          <w:color w:val="auto"/>
          <w:szCs w:val="21"/>
          <w:highlight w:val="none"/>
        </w:rPr>
        <w:t>承担；</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（2）无负荷联动试车费用由</w:t>
      </w:r>
      <w:r>
        <w:rPr>
          <w:rFonts w:hint="eastAsia" w:ascii="宋体" w:hAnsi="宋体"/>
          <w:color w:val="auto"/>
          <w:szCs w:val="21"/>
          <w:highlight w:val="none"/>
          <w:u w:val="dotted"/>
        </w:rPr>
        <w:t xml:space="preserve"> 承包人 </w:t>
      </w:r>
      <w:r>
        <w:rPr>
          <w:rFonts w:hint="eastAsia" w:ascii="宋体" w:hAnsi="宋体"/>
          <w:color w:val="auto"/>
          <w:szCs w:val="21"/>
          <w:highlight w:val="none"/>
        </w:rPr>
        <w:t>承担。</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13.3.3 投料试车</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关于投料试车相关事项的约定：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13.6 竣工退场</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13.6.1 竣工退场</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承包人完成竣工退场的期限：</w:t>
      </w:r>
      <w:r>
        <w:rPr>
          <w:rFonts w:hint="eastAsia" w:ascii="宋体" w:hAnsi="宋体"/>
          <w:color w:val="auto"/>
          <w:szCs w:val="21"/>
          <w:highlight w:val="none"/>
          <w:u w:val="dotted"/>
        </w:rPr>
        <w:t xml:space="preserve"> 颁发工程验收合格证书后10天内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14.竣工结算</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14.1 竣工结算申请</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承包人提交竣工付款申请单的期限：</w:t>
      </w:r>
      <w:r>
        <w:rPr>
          <w:rFonts w:hint="eastAsia" w:ascii="宋体" w:hAnsi="宋体"/>
          <w:color w:val="auto"/>
          <w:szCs w:val="21"/>
          <w:highlight w:val="none"/>
          <w:u w:val="dotted"/>
        </w:rPr>
        <w:t xml:space="preserve">竣工验收合格并取得正式合格验收文本后15天内，承包人按一般规定格式编制竣工付款申请，发包人根据12.4.1执行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竣工付款申请单应当包括的内容：</w:t>
      </w:r>
      <w:r>
        <w:rPr>
          <w:rFonts w:hint="eastAsia" w:ascii="宋体" w:hAnsi="宋体"/>
          <w:color w:val="auto"/>
          <w:szCs w:val="21"/>
          <w:highlight w:val="none"/>
          <w:u w:val="dotted"/>
        </w:rPr>
        <w:t>除通用条款规定的内容外，还应当包括竣工报告、竣工验收单、工图、发承包双方实施过程中已确认的工程量及其结算合同价款、发承包双方实施过程中已确认调整后追加（减）的合同价款等发包人要求及办理结算所需的所有其他内容</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14.2 竣工结算审核</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发包人审批竣工付款申请单的期限：</w:t>
      </w:r>
      <w:r>
        <w:rPr>
          <w:rFonts w:hint="eastAsia" w:ascii="宋体" w:hAnsi="宋体"/>
          <w:color w:val="auto"/>
          <w:szCs w:val="21"/>
          <w:highlight w:val="none"/>
          <w:u w:val="dotted"/>
        </w:rPr>
        <w:t>竣工结算须待项目完工后，由发包人委托的中介机构对工程款进行结算审计，发包人收到结算审计报告后及时完成审批，承包人对发包人或发包人上级机关委托的审计机构进行结算审计的审计结论没有异议，自愿接受该审计结论约束</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发包人完成竣工付款的期限：</w:t>
      </w:r>
      <w:r>
        <w:rPr>
          <w:rFonts w:hint="eastAsia" w:ascii="宋体" w:hAnsi="宋体"/>
          <w:color w:val="auto"/>
          <w:szCs w:val="21"/>
          <w:highlight w:val="none"/>
          <w:u w:val="dotted"/>
        </w:rPr>
        <w:t>待项目完工后，由发包人委托的中介机构对工程款进行结算审计，发包人收到结算审计报告后及时完成</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关于竣工付款证书异议部分复核的方式和程序：</w:t>
      </w:r>
      <w:r>
        <w:rPr>
          <w:rFonts w:hint="eastAsia" w:ascii="宋体" w:hAnsi="宋体"/>
          <w:color w:val="auto"/>
          <w:szCs w:val="21"/>
          <w:highlight w:val="none"/>
          <w:u w:val="dotted"/>
        </w:rPr>
        <w:t xml:space="preserve">  执行采购人的相关规定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14.4 最终结清</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14.4.1 最终结清申请单</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承包人提交最终结清申请单的份数：</w:t>
      </w:r>
      <w:r>
        <w:rPr>
          <w:rFonts w:hint="eastAsia" w:ascii="宋体" w:hAnsi="宋体"/>
          <w:color w:val="auto"/>
          <w:szCs w:val="21"/>
          <w:highlight w:val="none"/>
          <w:u w:val="dotted"/>
        </w:rPr>
        <w:t xml:space="preserve">   伍份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承包人提交最终结算申请单的期限：</w:t>
      </w:r>
      <w:r>
        <w:rPr>
          <w:rFonts w:hint="eastAsia" w:ascii="宋体" w:hAnsi="宋体"/>
          <w:color w:val="auto"/>
          <w:szCs w:val="21"/>
          <w:highlight w:val="none"/>
          <w:u w:val="dotted"/>
        </w:rPr>
        <w:t>竣工验收后30日内</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14.4.2 最终结清证书和支付</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（1） 发包人完成最终结清申请单的审批并颁发最终结清证书的期限：</w:t>
      </w:r>
      <w:r>
        <w:rPr>
          <w:rFonts w:hint="eastAsia" w:ascii="宋体" w:hAnsi="宋体"/>
          <w:color w:val="auto"/>
          <w:szCs w:val="21"/>
          <w:highlight w:val="none"/>
          <w:u w:val="dotted"/>
        </w:rPr>
        <w:t>收到承包人提交的最终结清申请单15个工作日。</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 发包人完成支付的期限：</w:t>
      </w:r>
      <w:r>
        <w:rPr>
          <w:rFonts w:hint="eastAsia" w:ascii="宋体" w:hAnsi="宋体"/>
          <w:color w:val="auto"/>
          <w:szCs w:val="21"/>
          <w:highlight w:val="none"/>
          <w:u w:val="dotted"/>
        </w:rPr>
        <w:t xml:space="preserve"> 颁发最终结清证书后15个工作日内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15.缺陷责任期与保修</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15.2 缺陷责任期</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缺陷责任期的具体期限：</w:t>
      </w:r>
      <w:r>
        <w:rPr>
          <w:rFonts w:hint="eastAsia" w:ascii="宋体" w:hAnsi="宋体"/>
          <w:color w:val="auto"/>
          <w:szCs w:val="21"/>
          <w:highlight w:val="none"/>
          <w:u w:val="dotted"/>
        </w:rPr>
        <w:t xml:space="preserve">  24个月，缺陷责任期自工程通过竣工验收之日起计算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15.3 质量保证金</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关于是否扣留质量保证金的约定：</w:t>
      </w:r>
      <w:r>
        <w:rPr>
          <w:rFonts w:hint="eastAsia" w:ascii="宋体" w:hAnsi="宋体"/>
          <w:color w:val="auto"/>
          <w:szCs w:val="21"/>
          <w:highlight w:val="none"/>
          <w:u w:val="dotted"/>
        </w:rPr>
        <w:t xml:space="preserve"> 扣除工程结算价款的3%作为质量保证金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15.3.1 承包人提供质量保证金的方式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质量保证金采用以下第</w:t>
      </w:r>
      <w:r>
        <w:rPr>
          <w:rFonts w:hint="eastAsia" w:ascii="宋体" w:hAnsi="宋体"/>
          <w:color w:val="auto"/>
          <w:szCs w:val="21"/>
          <w:highlight w:val="none"/>
          <w:u w:val="dotted"/>
        </w:rPr>
        <w:t xml:space="preserve"> （2） </w:t>
      </w:r>
      <w:r>
        <w:rPr>
          <w:rFonts w:hint="eastAsia" w:ascii="宋体" w:hAnsi="宋体"/>
          <w:color w:val="auto"/>
          <w:szCs w:val="21"/>
          <w:highlight w:val="none"/>
        </w:rPr>
        <w:t>种方式：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 质量保证金保函， 保证金额为：</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 xml:space="preserve">（2） </w:t>
      </w:r>
      <w:r>
        <w:rPr>
          <w:rFonts w:hint="eastAsia" w:ascii="宋体" w:hAnsi="宋体"/>
          <w:color w:val="auto"/>
          <w:szCs w:val="21"/>
          <w:highlight w:val="none"/>
          <w:u w:val="dotted"/>
        </w:rPr>
        <w:t xml:space="preserve">3 </w:t>
      </w:r>
      <w:r>
        <w:rPr>
          <w:rFonts w:hint="eastAsia" w:ascii="宋体" w:hAnsi="宋体"/>
          <w:color w:val="auto"/>
          <w:szCs w:val="21"/>
          <w:highlight w:val="none"/>
        </w:rPr>
        <w:t>%的工程款；</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 其他方式：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15.3.2 质量保证金的扣留</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质量保证金的扣留采取以下第</w:t>
      </w:r>
      <w:r>
        <w:rPr>
          <w:rFonts w:hint="eastAsia" w:ascii="宋体" w:hAnsi="宋体"/>
          <w:color w:val="auto"/>
          <w:szCs w:val="21"/>
          <w:highlight w:val="none"/>
          <w:u w:val="dotted"/>
        </w:rPr>
        <w:t xml:space="preserve"> （2） </w:t>
      </w:r>
      <w:r>
        <w:rPr>
          <w:rFonts w:hint="eastAsia" w:ascii="宋体" w:hAnsi="宋体"/>
          <w:color w:val="auto"/>
          <w:szCs w:val="21"/>
          <w:highlight w:val="none"/>
        </w:rPr>
        <w:t>种方式：</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 在支付工程进度款时逐次扣留， 在此情形下，质量保证金的计算基数不包括预付款的支付、扣回以及价格调整的金额；</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（2）工程竣工结算时一次性扣留质量保证金；</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 其他扣留方式：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关于质量保证金的补充约定：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15.4 保修</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15.4.1 保修责任</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工程保修期为：</w:t>
      </w:r>
      <w:r>
        <w:rPr>
          <w:rFonts w:hint="eastAsia" w:ascii="宋体" w:hAnsi="宋体"/>
          <w:color w:val="auto"/>
          <w:szCs w:val="21"/>
          <w:highlight w:val="none"/>
          <w:u w:val="dotted"/>
        </w:rPr>
        <w:t>执行建设部[2000]80号令的保修期</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15.4.3 修复通知</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承包人收到保修通知并到达工程现场的合理时间：</w:t>
      </w:r>
      <w:r>
        <w:rPr>
          <w:rFonts w:hint="eastAsia" w:ascii="宋体" w:hAnsi="宋体"/>
          <w:color w:val="auto"/>
          <w:szCs w:val="21"/>
          <w:highlight w:val="none"/>
          <w:u w:val="dotted"/>
        </w:rPr>
        <w:t>24小时内</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16.违约</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16.1 发包人违约</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16.1.1 发包人违约的情形</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发包人违约的其他情形：</w:t>
      </w:r>
      <w:r>
        <w:rPr>
          <w:rFonts w:hint="eastAsia" w:ascii="宋体" w:hAnsi="宋体"/>
          <w:color w:val="auto"/>
          <w:szCs w:val="21"/>
          <w:highlight w:val="none"/>
          <w:u w:val="dotted"/>
        </w:rPr>
        <w:t>按通用条款</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16.1.2 发包人违约的责任</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发包人违约责任的承担方式和计算方法：</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（1）因发包人原因未能在计划开工日期前 7 天内下达开工通知的违约责任：</w:t>
      </w:r>
      <w:r>
        <w:rPr>
          <w:rFonts w:hint="eastAsia" w:ascii="宋体" w:hAnsi="宋体"/>
          <w:color w:val="auto"/>
          <w:szCs w:val="21"/>
          <w:highlight w:val="none"/>
          <w:u w:val="dotted"/>
        </w:rPr>
        <w:t xml:space="preserve">工期顺延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（2）因发包人原因未能按合同约定支付合同价款的违约责任：</w:t>
      </w:r>
      <w:r>
        <w:rPr>
          <w:rFonts w:hint="eastAsia" w:ascii="宋体" w:hAnsi="宋体"/>
          <w:color w:val="auto"/>
          <w:szCs w:val="21"/>
          <w:highlight w:val="none"/>
          <w:u w:val="dotted"/>
        </w:rPr>
        <w:t xml:space="preserve">  双方协商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（3）发包人违反第 10.1 款〔变更的范围〕第（2）项约定，自行实施被取消的工作或转由他人实施的违约责任：</w:t>
      </w:r>
      <w:r>
        <w:rPr>
          <w:rFonts w:hint="eastAsia" w:ascii="宋体" w:hAnsi="宋体"/>
          <w:color w:val="auto"/>
          <w:szCs w:val="21"/>
          <w:highlight w:val="none"/>
          <w:u w:val="dotted"/>
        </w:rPr>
        <w:t xml:space="preserve"> 双方另行协商，工期相应顺延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（4）发包人提供的材料、工程设备的规格、数量或质量不符合合同约定，或因发包人原因导致交货日期延误或交货地点变更等情况的违约责任：</w:t>
      </w:r>
      <w:r>
        <w:rPr>
          <w:rFonts w:hint="eastAsia" w:ascii="宋体" w:hAnsi="宋体"/>
          <w:color w:val="auto"/>
          <w:szCs w:val="21"/>
          <w:highlight w:val="none"/>
          <w:u w:val="dotted"/>
        </w:rPr>
        <w:t>双方另行协商，工期相应顺延</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（5）因发包人违反合同约定造成暂停施工的违约责任：</w:t>
      </w:r>
      <w:r>
        <w:rPr>
          <w:rFonts w:hint="eastAsia" w:ascii="宋体" w:hAnsi="宋体"/>
          <w:color w:val="auto"/>
          <w:szCs w:val="21"/>
          <w:highlight w:val="none"/>
          <w:u w:val="dotted"/>
        </w:rPr>
        <w:t>双方另行协商，工期相应顺延</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（6）发包人无正当理由没有在约定期限内发出复工指示，导致承包人无法复工的违约责任：</w:t>
      </w:r>
      <w:r>
        <w:rPr>
          <w:rFonts w:hint="eastAsia" w:ascii="宋体" w:hAnsi="宋体"/>
          <w:color w:val="auto"/>
          <w:szCs w:val="21"/>
          <w:highlight w:val="none"/>
          <w:u w:val="dotted"/>
        </w:rPr>
        <w:t>双方另行协商，工期相应顺延</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（7）其他：</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16.1.3 因发包人违约解除合同</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承包人按 16.1.1 项〔发包人违约的情形〕约定暂停施工满</w:t>
      </w:r>
      <w:r>
        <w:rPr>
          <w:rFonts w:hint="eastAsia" w:ascii="宋体" w:hAnsi="宋体"/>
          <w:color w:val="auto"/>
          <w:szCs w:val="21"/>
          <w:highlight w:val="none"/>
          <w:u w:val="dotted"/>
        </w:rPr>
        <w:t xml:space="preserve"> 30 </w:t>
      </w:r>
      <w:r>
        <w:rPr>
          <w:rFonts w:hint="eastAsia" w:ascii="宋体" w:hAnsi="宋体"/>
          <w:color w:val="auto"/>
          <w:szCs w:val="21"/>
          <w:highlight w:val="none"/>
        </w:rPr>
        <w:t>天后发包人仍不纠正其违约行为并致使合同目的不能实现的，承包人有权解除合同。</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16.2 承包人违约</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16.2.1 承包人违约的情形</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承包人违约的其他情形：</w:t>
      </w:r>
      <w:r>
        <w:rPr>
          <w:rFonts w:hint="eastAsia" w:ascii="宋体" w:hAnsi="宋体"/>
          <w:color w:val="auto"/>
          <w:szCs w:val="21"/>
          <w:highlight w:val="none"/>
          <w:u w:val="dotted"/>
        </w:rPr>
        <w:t xml:space="preserve"> 如达不到约定质量标准，处以支付发包人合同总额5%的违约金，承包人应当采取返工、修理等补救措施，使工程质量达到约定的质量标准，并承担所支付的一切费用，因此给发包人造成相应损失由承包人承担。（如承包人不配合修补，则发包人可自行修补，修补费用从质保金中扣回）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16.2.2 承包人违约的责任</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承包人违约责任的承担方式和计算方法：</w:t>
      </w:r>
      <w:r>
        <w:rPr>
          <w:rFonts w:hint="eastAsia" w:ascii="宋体" w:hAnsi="宋体"/>
          <w:color w:val="auto"/>
          <w:szCs w:val="21"/>
          <w:highlight w:val="none"/>
          <w:u w:val="dotted"/>
        </w:rPr>
        <w:t xml:space="preserve"> 非经发包人认可，因承包人原因造成工期延误，每延误一天承担工程总造价千分之一的违约金。延误时间致使工程不能投入使用的，发包人可追加罚款、停止付款及终止合同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16.2.3 因承包人违约解除合同</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关于承包人违约解除合同的特别约定：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发包人继续使用承包人在施工现场的材料、设备、临时工程、承包人文件和由承包人或以其名义编制的其他文件的费用承担方式：</w:t>
      </w:r>
      <w:r>
        <w:rPr>
          <w:rFonts w:hint="eastAsia" w:ascii="宋体" w:hAnsi="宋体"/>
          <w:color w:val="auto"/>
          <w:szCs w:val="21"/>
          <w:highlight w:val="none"/>
          <w:u w:val="dotted"/>
        </w:rPr>
        <w:t xml:space="preserve"> 作为承包人的赔偿，所有费用由承包人承担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17.不可抗力</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17.1 不可抗力的确认</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除通用合同条款约定的不可抗力事件之外，视为不可抗力的其他情形：</w:t>
      </w:r>
      <w:r>
        <w:rPr>
          <w:rFonts w:hint="eastAsia" w:ascii="宋体" w:hAnsi="宋体"/>
          <w:color w:val="auto"/>
          <w:szCs w:val="21"/>
          <w:highlight w:val="none"/>
          <w:u w:val="dotted"/>
        </w:rPr>
        <w:t xml:space="preserve"> ≥八级以上连续4小时的大风，200毫米以上的暴雨，百年一遇的山洪，五级以上的地震，国家法定的传染病疫情。</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17.4 因不可抗力解除合同</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合同解除后，发包人应当在商定或确定发包人应当支付款项后</w:t>
      </w:r>
      <w:r>
        <w:rPr>
          <w:rFonts w:hint="eastAsia" w:ascii="宋体" w:hAnsi="宋体"/>
          <w:color w:val="auto"/>
          <w:szCs w:val="21"/>
          <w:highlight w:val="none"/>
          <w:u w:val="dotted"/>
        </w:rPr>
        <w:t xml:space="preserve">  60  </w:t>
      </w:r>
      <w:r>
        <w:rPr>
          <w:rFonts w:hint="eastAsia" w:ascii="宋体" w:hAnsi="宋体"/>
          <w:color w:val="auto"/>
          <w:szCs w:val="21"/>
          <w:highlight w:val="none"/>
        </w:rPr>
        <w:t>天内完成款项的支付。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18.保险</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18.1 工程保险</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关于工程保险的特别约定：</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18.3 安全生产责任保险</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关于安全生产责任保险的约定：</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18.7 通知义务</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关于变更保险合同时的通知义务的约定：</w:t>
      </w:r>
      <w:r>
        <w:rPr>
          <w:rFonts w:hint="eastAsia" w:ascii="宋体" w:hAnsi="宋体"/>
          <w:color w:val="auto"/>
          <w:szCs w:val="21"/>
          <w:highlight w:val="none"/>
          <w:u w:val="dotted"/>
        </w:rPr>
        <w:t xml:space="preserve">  按通用条款  </w:t>
      </w:r>
      <w:r>
        <w:rPr>
          <w:rFonts w:hint="eastAsia" w:ascii="宋体" w:hAnsi="宋体"/>
          <w:color w:val="auto"/>
          <w:szCs w:val="21"/>
          <w:highlight w:val="none"/>
        </w:rPr>
        <w:t>。</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20.争议解决</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20.3 争议评审</w:t>
      </w:r>
    </w:p>
    <w:p>
      <w:pPr>
        <w:adjustRightInd w:val="0"/>
        <w:snapToGrid w:val="0"/>
        <w:spacing w:line="360" w:lineRule="auto"/>
        <w:ind w:firstLine="525" w:firstLineChars="250"/>
        <w:rPr>
          <w:rFonts w:ascii="宋体" w:hAnsi="宋体"/>
          <w:color w:val="auto"/>
          <w:szCs w:val="21"/>
          <w:highlight w:val="none"/>
          <w:u w:val="dotted"/>
        </w:rPr>
      </w:pPr>
      <w:r>
        <w:rPr>
          <w:rFonts w:hint="eastAsia" w:ascii="宋体" w:hAnsi="宋体"/>
          <w:color w:val="auto"/>
          <w:szCs w:val="21"/>
          <w:highlight w:val="none"/>
        </w:rPr>
        <w:t>合同当事人是否同意将工程争议提交争议评审小组决定：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20.3.1 争议评审小组的确定</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争议评审小组成员的确定：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选定争议评审员的期限：</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争议评审小组成员的报酬承担方式：</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其他事项的约定：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20.3.2 争议评审小组的决定</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合同当事人关于本项的约定：</w:t>
      </w:r>
      <w:r>
        <w:rPr>
          <w:rFonts w:hint="eastAsia" w:ascii="宋体" w:hAnsi="宋体"/>
          <w:color w:val="auto"/>
          <w:szCs w:val="21"/>
          <w:highlight w:val="none"/>
          <w:u w:val="dotted"/>
        </w:rPr>
        <w:t xml:space="preserve">      /       </w:t>
      </w:r>
      <w:r>
        <w:rPr>
          <w:rFonts w:hint="eastAsia" w:ascii="宋体" w:hAnsi="宋体"/>
          <w:color w:val="auto"/>
          <w:szCs w:val="21"/>
          <w:highlight w:val="none"/>
        </w:rPr>
        <w:t>。</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20.4 仲裁或诉讼</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因合同及合同有关事项发生的争议， 按下列第</w:t>
      </w:r>
      <w:r>
        <w:rPr>
          <w:rFonts w:hint="eastAsia" w:ascii="宋体" w:hAnsi="宋体"/>
          <w:color w:val="auto"/>
          <w:szCs w:val="21"/>
          <w:highlight w:val="none"/>
          <w:u w:val="dotted"/>
        </w:rPr>
        <w:t xml:space="preserve"> （2） </w:t>
      </w:r>
      <w:r>
        <w:rPr>
          <w:rFonts w:hint="eastAsia" w:ascii="宋体" w:hAnsi="宋体"/>
          <w:color w:val="auto"/>
          <w:szCs w:val="21"/>
          <w:highlight w:val="none"/>
        </w:rPr>
        <w:t>种方式解决：</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dotted"/>
        </w:rPr>
        <w:t xml:space="preserve">  /  </w:t>
      </w:r>
      <w:r>
        <w:rPr>
          <w:rFonts w:hint="eastAsia" w:ascii="宋体" w:hAnsi="宋体"/>
          <w:color w:val="auto"/>
          <w:szCs w:val="21"/>
          <w:highlight w:val="none"/>
        </w:rPr>
        <w:t>仲裁委员会申请仲裁；</w:t>
      </w:r>
    </w:p>
    <w:p>
      <w:pPr>
        <w:adjustRightInd w:val="0"/>
        <w:snapToGrid w:val="0"/>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dotted"/>
        </w:rPr>
        <w:t xml:space="preserve">  发包人所在地  </w:t>
      </w:r>
      <w:r>
        <w:rPr>
          <w:rFonts w:hint="eastAsia" w:ascii="宋体" w:hAnsi="宋体"/>
          <w:color w:val="auto"/>
          <w:szCs w:val="21"/>
          <w:highlight w:val="none"/>
        </w:rPr>
        <w:t>人民法院起诉</w:t>
      </w:r>
    </w:p>
    <w:p>
      <w:pPr>
        <w:adjustRightInd w:val="0"/>
        <w:snapToGrid w:val="0"/>
        <w:spacing w:before="156" w:beforeLines="50" w:line="360" w:lineRule="auto"/>
        <w:rPr>
          <w:rFonts w:ascii="宋体" w:hAnsi="宋体"/>
          <w:b/>
          <w:color w:val="auto"/>
          <w:szCs w:val="21"/>
          <w:highlight w:val="none"/>
        </w:rPr>
      </w:pPr>
      <w:r>
        <w:rPr>
          <w:rFonts w:hint="eastAsia" w:ascii="宋体" w:hAnsi="宋体"/>
          <w:b/>
          <w:color w:val="auto"/>
          <w:szCs w:val="21"/>
          <w:highlight w:val="none"/>
        </w:rPr>
        <w:t>补充条款：</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（1）承包人应当在接到发包人及监理单位的开工通知后的七个日历天内入场。</w:t>
      </w:r>
      <w:bookmarkStart w:id="73" w:name="OLE_LINK7"/>
      <w:bookmarkStart w:id="74" w:name="OLE_LINK9"/>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（2）</w:t>
      </w:r>
      <w:bookmarkEnd w:id="73"/>
      <w:r>
        <w:rPr>
          <w:rFonts w:hint="eastAsia" w:ascii="宋体" w:hAnsi="宋体"/>
          <w:color w:val="auto"/>
          <w:szCs w:val="21"/>
          <w:highlight w:val="none"/>
          <w:u w:val="dotted"/>
        </w:rPr>
        <w:t>承包人</w:t>
      </w:r>
      <w:bookmarkEnd w:id="74"/>
      <w:r>
        <w:rPr>
          <w:rFonts w:hint="eastAsia" w:ascii="宋体" w:hAnsi="宋体"/>
          <w:color w:val="auto"/>
          <w:szCs w:val="21"/>
          <w:highlight w:val="none"/>
          <w:u w:val="dotted"/>
        </w:rPr>
        <w:t>承诺按时足额支付农民工资，如有拖欠，发包人有权从工程款中代扣代付。</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3）承包人必须负责做好在施工中与其他相关施工单位协调工作，并无条件服从发包人统一协调。做好与其他相关工程的协调施工及成品保护，不能影响总工期，否则将追究责任方的责任，并要承担由此引起的返工怠工损失。</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4）承包人应当按通用条款要求做好安全施工、文明施工工作。按标准设置围挡，要整齐牢固、美观整洁，宣传内容齐全；制定防尘降噪措施，标志标牌符合要求，指定安全责任人，确保安全生产；施工人员要按要求挂牌上岗，安全帽要设置统一标识。如达不到规定要求的，除按发包人的要求整改达标外，发包人有权扣除相应违约金。</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（5）施工资料要随施工进度同步进行，下一道工序施工前必须完成上一道工序技术资料的交验签证。工程完工验收合格后，施工单位要对施工资料整理归档，并通过监理工程师审核。</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（6）本项目的所有报建工作（包括城建、消防&lt;报建、通过消防部门验收等&gt;等）均由承包人负责，承包人必须派专人对本工程项目进行报建及办理相关手续，并承担所有相关费用。</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7）发包人将对承包人响应文件中注明的项目负责人等施工项目部关键岗位人员的注册证书及岗位证书进行押证，直至项目完成，且要求所有施工项目部关键岗位人员亲自参与本项目全过程施工及管理，每天出勤，缺勤的由发包人收取旷工费2000元/天/人，如有变更必须经发包人同意，否则按违约处理，发包人有权清退承包人。</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（8）承包人管理与协调分包工程及专业发分包人（如有）的安全生产、文明施工、工程质量、进度，协调材料设备现场运输、仓储、办公及住宿和成品保护，及时为专业分包人提供作业面及作业时间。</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（9）工程管理、工程造价变更及竣工结算采购人有特殊规定的按采购人相关规定执行。</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10）承包人向发包人提供的报审金额，经发包人聘请的中介机构审计后，审减金额≤审定金额5%，审计费用由发包人承担；审减金额＞审定金额5%，超过审定金额5%部分的审计费用由承包人承担，发包人按审定金额扣除审计费用后支付工程款。</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（11）主要材料、成品、半成品等材料进场需报送样品，经发包人确认同意后，方可大量进场，否则造成退货由承包人自负相关责任。</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12）承包人必须负责做好在施工中与其他相关施工单位协调工作，并无条件服从发包人统一协调。做好与其他相关工程的协调施工及成品保护，不能影响总工期，否则将追究责任方的责任，并要承担由此引起的返工怠工损失。</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13）承包人应按通用条款要求做好安全施工、文明施工工作。按标准设置围挡，要整齐牢固、美观整洁，宣传内容齐全；制定防尘降噪措施，标志标牌符合要求，指定安全责任人，确保安全生产；施工人员要按要求挂牌上岗，安全帽要设置统一标识。如达不到规定要求的，除按发包人的要求整改达标外，发包人有权扣除相应违约金。</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（14）施工资料要随施工进度同步进行，下一道工序施工前必须完成上一道工序技术资料的交验签证。工程完工验收合格后，施工单位要对施工资料整理归档，并通过监理工程师审核。</w:t>
      </w:r>
    </w:p>
    <w:p>
      <w:pPr>
        <w:adjustRightInd w:val="0"/>
        <w:snapToGrid w:val="0"/>
        <w:spacing w:line="360" w:lineRule="auto"/>
        <w:ind w:firstLine="210" w:firstLineChars="100"/>
        <w:rPr>
          <w:rFonts w:ascii="宋体" w:hAnsi="宋体"/>
          <w:color w:val="auto"/>
          <w:szCs w:val="21"/>
          <w:highlight w:val="none"/>
          <w:u w:val="dotted"/>
        </w:rPr>
      </w:pPr>
      <w:r>
        <w:rPr>
          <w:rFonts w:hint="eastAsia" w:ascii="宋体" w:hAnsi="宋体"/>
          <w:color w:val="auto"/>
          <w:szCs w:val="21"/>
          <w:highlight w:val="none"/>
          <w:u w:val="dotted"/>
        </w:rPr>
        <w:t>（15）为切实做好保修及缺陷责任期内的保修工作，现明确具体保修内容及要求整改时限：</w:t>
      </w:r>
    </w:p>
    <w:p>
      <w:pPr>
        <w:autoSpaceDE w:val="0"/>
        <w:autoSpaceDN w:val="0"/>
        <w:adjustRightInd w:val="0"/>
        <w:snapToGrid w:val="0"/>
        <w:spacing w:line="420" w:lineRule="exact"/>
        <w:jc w:val="center"/>
        <w:textAlignment w:val="top"/>
        <w:rPr>
          <w:rFonts w:ascii="宋体" w:hAnsi="宋体"/>
          <w:b/>
          <w:bCs/>
          <w:color w:val="auto"/>
          <w:szCs w:val="21"/>
          <w:highlight w:val="none"/>
        </w:rPr>
      </w:pPr>
      <w:r>
        <w:rPr>
          <w:rFonts w:hint="eastAsia" w:ascii="宋体" w:hAnsi="宋体"/>
          <w:b/>
          <w:bCs/>
          <w:color w:val="auto"/>
          <w:szCs w:val="21"/>
          <w:highlight w:val="none"/>
        </w:rPr>
        <w:t>质量保修具体内容和整改时限</w:t>
      </w:r>
    </w:p>
    <w:tbl>
      <w:tblPr>
        <w:tblStyle w:val="33"/>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7"/>
        <w:gridCol w:w="2220"/>
        <w:gridCol w:w="2850"/>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3097" w:type="dxa"/>
            <w:vAlign w:val="center"/>
          </w:tcPr>
          <w:p>
            <w:pPr>
              <w:autoSpaceDE w:val="0"/>
              <w:autoSpaceDN w:val="0"/>
              <w:adjustRightInd w:val="0"/>
              <w:snapToGrid w:val="0"/>
              <w:jc w:val="center"/>
              <w:textAlignment w:val="top"/>
              <w:rPr>
                <w:rFonts w:ascii="宋体" w:hAnsi="宋体"/>
                <w:bCs/>
                <w:color w:val="auto"/>
                <w:szCs w:val="21"/>
                <w:highlight w:val="none"/>
              </w:rPr>
            </w:pPr>
            <w:r>
              <w:rPr>
                <w:rFonts w:hint="eastAsia" w:ascii="宋体" w:hAnsi="宋体"/>
                <w:bCs/>
                <w:color w:val="auto"/>
                <w:szCs w:val="21"/>
                <w:highlight w:val="none"/>
              </w:rPr>
              <w:t>保修具体内容</w:t>
            </w:r>
          </w:p>
        </w:tc>
        <w:tc>
          <w:tcPr>
            <w:tcW w:w="2220" w:type="dxa"/>
            <w:vAlign w:val="center"/>
          </w:tcPr>
          <w:p>
            <w:pPr>
              <w:autoSpaceDE w:val="0"/>
              <w:autoSpaceDN w:val="0"/>
              <w:adjustRightInd w:val="0"/>
              <w:snapToGrid w:val="0"/>
              <w:jc w:val="center"/>
              <w:textAlignment w:val="top"/>
              <w:rPr>
                <w:rFonts w:ascii="宋体" w:hAnsi="宋体"/>
                <w:bCs/>
                <w:color w:val="auto"/>
                <w:szCs w:val="21"/>
                <w:highlight w:val="none"/>
              </w:rPr>
            </w:pPr>
            <w:r>
              <w:rPr>
                <w:rFonts w:hint="eastAsia" w:ascii="宋体" w:hAnsi="宋体"/>
                <w:bCs/>
                <w:color w:val="auto"/>
                <w:szCs w:val="21"/>
                <w:highlight w:val="none"/>
              </w:rPr>
              <w:t>一般整改时限</w:t>
            </w:r>
          </w:p>
        </w:tc>
        <w:tc>
          <w:tcPr>
            <w:tcW w:w="2850" w:type="dxa"/>
            <w:vAlign w:val="center"/>
          </w:tcPr>
          <w:p>
            <w:pPr>
              <w:autoSpaceDE w:val="0"/>
              <w:autoSpaceDN w:val="0"/>
              <w:adjustRightInd w:val="0"/>
              <w:snapToGrid w:val="0"/>
              <w:jc w:val="center"/>
              <w:textAlignment w:val="top"/>
              <w:rPr>
                <w:rFonts w:ascii="宋体" w:hAnsi="宋体"/>
                <w:bCs/>
                <w:color w:val="auto"/>
                <w:szCs w:val="21"/>
                <w:highlight w:val="none"/>
              </w:rPr>
            </w:pPr>
            <w:r>
              <w:rPr>
                <w:rFonts w:hint="eastAsia" w:ascii="宋体" w:hAnsi="宋体"/>
                <w:bCs/>
                <w:color w:val="auto"/>
                <w:szCs w:val="21"/>
                <w:highlight w:val="none"/>
              </w:rPr>
              <w:t>特殊情况整改时限</w:t>
            </w:r>
          </w:p>
        </w:tc>
        <w:tc>
          <w:tcPr>
            <w:tcW w:w="1404" w:type="dxa"/>
            <w:vAlign w:val="center"/>
          </w:tcPr>
          <w:p>
            <w:pPr>
              <w:autoSpaceDE w:val="0"/>
              <w:autoSpaceDN w:val="0"/>
              <w:adjustRightInd w:val="0"/>
              <w:snapToGrid w:val="0"/>
              <w:jc w:val="center"/>
              <w:textAlignment w:val="top"/>
              <w:rPr>
                <w:rFonts w:ascii="宋体" w:hAnsi="宋体"/>
                <w:bCs/>
                <w:color w:val="auto"/>
                <w:szCs w:val="21"/>
                <w:highlight w:val="none"/>
              </w:rPr>
            </w:pPr>
            <w:r>
              <w:rPr>
                <w:rFonts w:hint="eastAsia" w:ascii="宋体" w:hAnsi="宋体"/>
                <w:bCs/>
                <w:color w:val="auto"/>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屋面、外墙面、地下室、厕所及卫生间地面、管道渗、漏水等</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漏水在接到通知1小时内上门整改，渗水24小时内完成整改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p>
        </w:tc>
        <w:tc>
          <w:tcPr>
            <w:tcW w:w="1404" w:type="dxa"/>
            <w:vMerge w:val="restart"/>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在整改时限内承包人未做出反应的，发包人无条件委托第三方处理，并由承包人支付一定的违约金给发包人，经鉴定不属承包人保修内容的，承包人不承担保修责任。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上下水管和卫生洁具堵塞，阳台、卫生间、地漏堵塞等</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24小时内完成整改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涉及到材料采购问题的最多不超过48小时</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墙面、顶棚抹灰面脱落，屋顶、地面空鼓开裂、大面积起砂等</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48小时内完成整改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无</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墙、地面、涂料面等做工粗糙等</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48小时内完成整改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无</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门、窗破损、扭曲变形、设施和装置损坏</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72小时内完成整改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涉及到材料采购问题的最多不超过两周</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电路、灯具等问题</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48小时内完成整改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涉及到线路改造除外</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097" w:type="dxa"/>
            <w:vAlign w:val="center"/>
          </w:tcPr>
          <w:p>
            <w:pPr>
              <w:autoSpaceDE w:val="0"/>
              <w:autoSpaceDN w:val="0"/>
              <w:adjustRightInd w:val="0"/>
              <w:snapToGrid w:val="0"/>
              <w:jc w:val="left"/>
              <w:textAlignment w:val="top"/>
              <w:rPr>
                <w:rFonts w:ascii="宋体" w:hAnsi="宋体"/>
                <w:bCs/>
                <w:color w:val="auto"/>
                <w:szCs w:val="21"/>
                <w:highlight w:val="none"/>
              </w:rPr>
            </w:pPr>
            <w:r>
              <w:rPr>
                <w:rFonts w:hint="eastAsia" w:ascii="宋体" w:hAnsi="宋体"/>
                <w:bCs/>
                <w:color w:val="auto"/>
                <w:szCs w:val="21"/>
                <w:highlight w:val="none"/>
              </w:rPr>
              <w:t>其他</w:t>
            </w:r>
          </w:p>
        </w:tc>
        <w:tc>
          <w:tcPr>
            <w:tcW w:w="222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48小时内完成整改</w:t>
            </w:r>
          </w:p>
        </w:tc>
        <w:tc>
          <w:tcPr>
            <w:tcW w:w="2850" w:type="dxa"/>
            <w:vAlign w:val="center"/>
          </w:tcPr>
          <w:p>
            <w:pPr>
              <w:autoSpaceDE w:val="0"/>
              <w:autoSpaceDN w:val="0"/>
              <w:adjustRightInd w:val="0"/>
              <w:snapToGrid w:val="0"/>
              <w:textAlignment w:val="top"/>
              <w:rPr>
                <w:rFonts w:ascii="宋体" w:hAnsi="宋体"/>
                <w:bCs/>
                <w:color w:val="auto"/>
                <w:szCs w:val="21"/>
                <w:highlight w:val="none"/>
              </w:rPr>
            </w:pPr>
            <w:r>
              <w:rPr>
                <w:rFonts w:hint="eastAsia" w:ascii="宋体" w:hAnsi="宋体"/>
                <w:bCs/>
                <w:color w:val="auto"/>
                <w:szCs w:val="21"/>
                <w:highlight w:val="none"/>
              </w:rPr>
              <w:t>凡属中修范围的，根据专家会诊后的方案确定整改时限</w:t>
            </w:r>
          </w:p>
        </w:tc>
        <w:tc>
          <w:tcPr>
            <w:tcW w:w="1404" w:type="dxa"/>
            <w:vMerge w:val="continue"/>
            <w:vAlign w:val="center"/>
          </w:tcPr>
          <w:p>
            <w:pPr>
              <w:autoSpaceDE w:val="0"/>
              <w:autoSpaceDN w:val="0"/>
              <w:adjustRightInd w:val="0"/>
              <w:snapToGrid w:val="0"/>
              <w:jc w:val="center"/>
              <w:textAlignment w:val="top"/>
              <w:rPr>
                <w:rFonts w:ascii="宋体" w:hAnsi="宋体"/>
                <w:bCs/>
                <w:color w:val="auto"/>
                <w:szCs w:val="21"/>
                <w:highlight w:val="none"/>
              </w:rPr>
            </w:pPr>
          </w:p>
        </w:tc>
      </w:tr>
    </w:tbl>
    <w:p>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u w:val="dotted"/>
        </w:rPr>
        <w:t xml:space="preserve">承包人未按照上述保修时限规定进行保修的，按发包人委托其他单位或人员整改所发生的双倍费用进行赔偿支付，以上费用不须经承包人同意，发包人有权直接确认，并由发包人开出扣款通知单至发包人财务，由发包人财务直接从保修金中扣除 。  </w:t>
      </w:r>
    </w:p>
    <w:p>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附件</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1.协议书附件：</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 xml:space="preserve">附件 1：承包人承揽工程项目一览表 </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2.专用合同条款附件：</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2：发包人供应材料设备一览表</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3：工程质量保修书</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4：主要建设工程文件目录</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5：承包人用于本工程施工的机械设备表</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6：承包人主要施工管理人员表</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7：分包人主要施工管理人员表</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8：履约担保格式</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9：预付款担保格式</w:t>
      </w:r>
    </w:p>
    <w:p>
      <w:pPr>
        <w:adjustRightInd w:val="0"/>
        <w:snapToGrid w:val="0"/>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附件 10：支付担保格式</w:t>
      </w:r>
    </w:p>
    <w:p>
      <w:pPr>
        <w:adjustRightInd w:val="0"/>
        <w:snapToGrid w:val="0"/>
        <w:spacing w:line="360" w:lineRule="exact"/>
        <w:ind w:firstLine="525" w:firstLineChars="250"/>
        <w:rPr>
          <w:rFonts w:ascii="宋体" w:hAnsi="宋体"/>
          <w:b/>
          <w:color w:val="auto"/>
          <w:szCs w:val="21"/>
          <w:highlight w:val="none"/>
        </w:rPr>
      </w:pPr>
      <w:r>
        <w:rPr>
          <w:rFonts w:hint="eastAsia" w:ascii="宋体" w:hAnsi="宋体"/>
          <w:color w:val="auto"/>
          <w:szCs w:val="21"/>
          <w:highlight w:val="none"/>
        </w:rPr>
        <w:t>附件 11：暂估价一览表</w:t>
      </w:r>
    </w:p>
    <w:p>
      <w:pPr>
        <w:adjustRightInd w:val="0"/>
        <w:snapToGrid w:val="0"/>
        <w:spacing w:before="156" w:beforeLines="50" w:line="360" w:lineRule="auto"/>
        <w:rPr>
          <w:rFonts w:ascii="宋体" w:hAnsi="宋体"/>
          <w:b/>
          <w:color w:val="auto"/>
          <w:szCs w:val="21"/>
          <w:highlight w:val="none"/>
        </w:rPr>
      </w:pPr>
    </w:p>
    <w:p>
      <w:pPr>
        <w:pStyle w:val="40"/>
        <w:ind w:firstLine="422"/>
        <w:rPr>
          <w:rFonts w:ascii="宋体" w:hAnsi="宋体"/>
          <w:b/>
          <w:color w:val="auto"/>
          <w:szCs w:val="21"/>
          <w:highlight w:val="none"/>
        </w:rPr>
      </w:pPr>
    </w:p>
    <w:p>
      <w:pPr>
        <w:pStyle w:val="10"/>
        <w:rPr>
          <w:rFonts w:ascii="宋体" w:hAnsi="宋体"/>
          <w:b/>
          <w:color w:val="auto"/>
          <w:szCs w:val="21"/>
          <w:highlight w:val="none"/>
        </w:rPr>
      </w:pPr>
    </w:p>
    <w:p>
      <w:pPr>
        <w:rPr>
          <w:color w:val="auto"/>
          <w:highlight w:val="none"/>
        </w:rPr>
      </w:pPr>
    </w:p>
    <w:p>
      <w:pPr>
        <w:pStyle w:val="10"/>
        <w:rPr>
          <w:color w:val="auto"/>
          <w:highlight w:val="none"/>
        </w:rPr>
      </w:pPr>
    </w:p>
    <w:p>
      <w:pPr>
        <w:rPr>
          <w:color w:val="auto"/>
          <w:highlight w:val="none"/>
        </w:rPr>
      </w:pPr>
    </w:p>
    <w:p>
      <w:pPr>
        <w:pStyle w:val="10"/>
        <w:rPr>
          <w:color w:val="auto"/>
          <w:highlight w:val="none"/>
        </w:rPr>
      </w:pPr>
    </w:p>
    <w:p>
      <w:pPr>
        <w:rPr>
          <w:color w:val="auto"/>
          <w:highlight w:val="none"/>
        </w:rPr>
      </w:pPr>
    </w:p>
    <w:p>
      <w:pPr>
        <w:pStyle w:val="10"/>
        <w:rPr>
          <w:color w:val="auto"/>
          <w:highlight w:val="none"/>
        </w:rPr>
      </w:pPr>
    </w:p>
    <w:p>
      <w:pPr>
        <w:rPr>
          <w:color w:val="auto"/>
          <w:highlight w:val="none"/>
        </w:rPr>
      </w:pPr>
    </w:p>
    <w:p>
      <w:pPr>
        <w:pStyle w:val="2"/>
      </w:pPr>
    </w:p>
    <w:p>
      <w:pPr>
        <w:pStyle w:val="10"/>
        <w:rPr>
          <w:color w:val="auto"/>
          <w:highlight w:val="none"/>
        </w:rPr>
      </w:pPr>
    </w:p>
    <w:p>
      <w:pPr>
        <w:adjustRightInd w:val="0"/>
        <w:snapToGrid w:val="0"/>
        <w:spacing w:before="156" w:beforeLines="50" w:line="360" w:lineRule="auto"/>
        <w:rPr>
          <w:rFonts w:ascii="宋体" w:hAnsi="宋体"/>
          <w:b/>
          <w:color w:val="auto"/>
          <w:szCs w:val="21"/>
          <w:highlight w:val="none"/>
        </w:rPr>
      </w:pPr>
      <w:r>
        <w:rPr>
          <w:rFonts w:hint="eastAsia" w:ascii="宋体" w:hAnsi="宋体"/>
          <w:b/>
          <w:color w:val="auto"/>
          <w:szCs w:val="21"/>
          <w:highlight w:val="none"/>
        </w:rPr>
        <w:t>附件3：工程质量保修书</w:t>
      </w:r>
    </w:p>
    <w:p>
      <w:pPr>
        <w:adjustRightInd w:val="0"/>
        <w:snapToGrid w:val="0"/>
        <w:spacing w:line="600" w:lineRule="exact"/>
        <w:jc w:val="center"/>
        <w:rPr>
          <w:rFonts w:ascii="黑体" w:eastAsia="黑体"/>
          <w:color w:val="auto"/>
          <w:sz w:val="28"/>
          <w:szCs w:val="28"/>
          <w:highlight w:val="none"/>
        </w:rPr>
      </w:pPr>
      <w:r>
        <w:rPr>
          <w:rFonts w:hint="eastAsia" w:ascii="黑体" w:eastAsia="黑体"/>
          <w:color w:val="auto"/>
          <w:sz w:val="28"/>
          <w:szCs w:val="28"/>
          <w:highlight w:val="none"/>
        </w:rPr>
        <w:t>工程质量保修书</w:t>
      </w:r>
    </w:p>
    <w:p>
      <w:pPr>
        <w:spacing w:line="360" w:lineRule="auto"/>
        <w:rPr>
          <w:rFonts w:ascii="宋体" w:hAnsi="宋体"/>
          <w:color w:val="auto"/>
          <w:szCs w:val="21"/>
          <w:highlight w:val="none"/>
        </w:rPr>
      </w:pP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r>
        <w:rPr>
          <w:rFonts w:hint="eastAsia" w:ascii="宋体" w:hAnsi="宋体" w:cs="宋体"/>
          <w:color w:val="auto"/>
          <w:szCs w:val="21"/>
          <w:highlight w:val="none"/>
        </w:rPr>
        <w:t>　　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p>
    <w:p>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发包人和承包人根据《中华人民共和国建筑法》和《建设工程质量管理条例》，经协商一致就  </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（项目全称）签订工程质量保修书。</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w:t>
      </w:r>
      <w:bookmarkStart w:id="75" w:name="_Toc25086"/>
      <w:r>
        <w:rPr>
          <w:rFonts w:hint="eastAsia" w:ascii="宋体" w:hAnsi="宋体" w:cs="宋体"/>
          <w:color w:val="auto"/>
          <w:szCs w:val="21"/>
          <w:highlight w:val="none"/>
        </w:rPr>
        <w:t>一、工程质量保修范围和内容</w:t>
      </w:r>
      <w:bookmarkEnd w:id="75"/>
    </w:p>
    <w:p>
      <w:pPr>
        <w:spacing w:line="360" w:lineRule="auto"/>
        <w:rPr>
          <w:rFonts w:ascii="宋体" w:hAnsi="宋体" w:cs="宋体"/>
          <w:color w:val="auto"/>
          <w:szCs w:val="21"/>
          <w:highlight w:val="none"/>
        </w:rPr>
      </w:pPr>
      <w:r>
        <w:rPr>
          <w:rFonts w:hint="eastAsia" w:ascii="宋体" w:hAnsi="宋体" w:cs="宋体"/>
          <w:color w:val="auto"/>
          <w:szCs w:val="21"/>
          <w:highlight w:val="none"/>
        </w:rPr>
        <w:t>　　承包人在质量保修期内，按照有关法律规定和合同约定，承担工程质量保修责任。</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b/>
          <w:color w:val="auto"/>
          <w:szCs w:val="21"/>
          <w:highlight w:val="none"/>
        </w:rPr>
        <w:t>　　</w:t>
      </w:r>
      <w:bookmarkStart w:id="76" w:name="_Toc8000"/>
      <w:r>
        <w:rPr>
          <w:rFonts w:hint="eastAsia" w:ascii="宋体" w:hAnsi="宋体" w:cs="宋体"/>
          <w:color w:val="auto"/>
          <w:szCs w:val="21"/>
          <w:highlight w:val="none"/>
        </w:rPr>
        <w:t>二、质量保修期</w:t>
      </w:r>
      <w:bookmarkEnd w:id="76"/>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1．地基基础工程和主体结构工程为设计文件规定的工程合理使用年限；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2．屋面防水工程、有防水要求的卫生间、房间和外墙面的防渗为</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个采暖期、供冷期；</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6．住宅小区内的给排水设施、道路等配套工程为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质量保修期自工程竣工验收合格之日起计算。</w:t>
      </w:r>
    </w:p>
    <w:p>
      <w:pPr>
        <w:spacing w:line="360" w:lineRule="auto"/>
        <w:rPr>
          <w:rFonts w:ascii="宋体" w:hAnsi="宋体" w:cs="宋体"/>
          <w:color w:val="auto"/>
          <w:szCs w:val="21"/>
          <w:highlight w:val="none"/>
        </w:rPr>
      </w:pPr>
      <w:bookmarkStart w:id="77" w:name="_Toc10124"/>
      <w:r>
        <w:rPr>
          <w:rFonts w:hint="eastAsia" w:ascii="宋体" w:hAnsi="宋体" w:cs="宋体"/>
          <w:color w:val="auto"/>
          <w:szCs w:val="21"/>
          <w:highlight w:val="none"/>
        </w:rPr>
        <w:t xml:space="preserve">    三、缺陷责任期</w:t>
      </w:r>
      <w:bookmarkEnd w:id="77"/>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个月，缺陷责任期自工程通过竣工验收之日起计算。单位工程先于全部工程进行验收，单位工程缺陷责任期自单位工程验收合格之日起算。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pPr>
        <w:spacing w:line="360" w:lineRule="auto"/>
        <w:rPr>
          <w:rFonts w:ascii="宋体" w:hAnsi="宋体" w:cs="宋体"/>
          <w:color w:val="auto"/>
          <w:szCs w:val="21"/>
          <w:highlight w:val="none"/>
        </w:rPr>
      </w:pPr>
      <w:bookmarkStart w:id="78" w:name="_Toc8417"/>
      <w:r>
        <w:rPr>
          <w:rFonts w:hint="eastAsia" w:ascii="宋体" w:hAnsi="宋体" w:cs="宋体"/>
          <w:color w:val="auto"/>
          <w:szCs w:val="21"/>
          <w:highlight w:val="none"/>
        </w:rPr>
        <w:t xml:space="preserve">    四、质量保修责任</w:t>
      </w:r>
      <w:bookmarkEnd w:id="78"/>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1．属于保修范围、内容的项目，承包人应当在接到保修通知之日起7天内派人保修。承包人不在约定期限内派人保修的，发包人可以委托他人修理。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w:t>
      </w:r>
      <w:bookmarkStart w:id="79" w:name="_Toc18148"/>
      <w:r>
        <w:rPr>
          <w:rFonts w:hint="eastAsia" w:ascii="宋体" w:hAnsi="宋体" w:cs="宋体"/>
          <w:color w:val="auto"/>
          <w:szCs w:val="21"/>
          <w:highlight w:val="none"/>
        </w:rPr>
        <w:t>五、保修费用</w:t>
      </w:r>
      <w:bookmarkEnd w:id="79"/>
    </w:p>
    <w:p>
      <w:pPr>
        <w:spacing w:line="360" w:lineRule="auto"/>
        <w:rPr>
          <w:rFonts w:ascii="宋体" w:hAnsi="宋体" w:cs="宋体"/>
          <w:color w:val="auto"/>
          <w:szCs w:val="21"/>
          <w:highlight w:val="none"/>
        </w:rPr>
      </w:pPr>
      <w:r>
        <w:rPr>
          <w:rFonts w:hint="eastAsia" w:ascii="宋体" w:hAnsi="宋体" w:cs="宋体"/>
          <w:color w:val="auto"/>
          <w:szCs w:val="21"/>
          <w:highlight w:val="none"/>
        </w:rPr>
        <w:t>　　保修费用由造成质量缺陷的责任方承担。</w:t>
      </w:r>
    </w:p>
    <w:p>
      <w:pPr>
        <w:spacing w:line="360" w:lineRule="auto"/>
        <w:ind w:firstLine="420" w:firstLineChars="200"/>
        <w:jc w:val="left"/>
        <w:rPr>
          <w:rFonts w:ascii="宋体" w:hAnsi="宋体" w:cs="宋体"/>
          <w:color w:val="auto"/>
          <w:szCs w:val="21"/>
          <w:highlight w:val="none"/>
        </w:rPr>
      </w:pPr>
      <w:bookmarkStart w:id="80" w:name="_Toc1225"/>
      <w:r>
        <w:rPr>
          <w:rFonts w:hint="eastAsia" w:ascii="宋体" w:hAnsi="宋体" w:cs="宋体"/>
          <w:color w:val="auto"/>
          <w:szCs w:val="21"/>
          <w:highlight w:val="none"/>
        </w:rPr>
        <w:t>六、双方约定的其他工程质量保修事项：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bookmarkEnd w:id="80"/>
    </w:p>
    <w:p>
      <w:pPr>
        <w:spacing w:line="360" w:lineRule="auto"/>
        <w:ind w:firstLine="399" w:firstLineChars="19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pPr>
        <w:spacing w:line="360" w:lineRule="auto"/>
        <w:ind w:firstLine="420"/>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p>
    <w:p>
      <w:pPr>
        <w:pStyle w:val="2"/>
        <w:rPr>
          <w:color w:val="auto"/>
          <w:highlight w:val="none"/>
        </w:rPr>
      </w:pPr>
    </w:p>
    <w:p>
      <w:pPr>
        <w:jc w:val="center"/>
        <w:outlineLvl w:val="0"/>
        <w:rPr>
          <w:rFonts w:ascii="黑体" w:hAnsi="黑体" w:eastAsia="黑体"/>
          <w:b/>
          <w:color w:val="auto"/>
          <w:sz w:val="36"/>
          <w:szCs w:val="36"/>
          <w:highlight w:val="none"/>
        </w:rPr>
      </w:pPr>
    </w:p>
    <w:p>
      <w:pPr>
        <w:jc w:val="center"/>
        <w:outlineLvl w:val="0"/>
        <w:rPr>
          <w:rFonts w:ascii="黑体" w:hAnsi="黑体" w:eastAsia="黑体"/>
          <w:b/>
          <w:color w:val="auto"/>
          <w:sz w:val="36"/>
          <w:szCs w:val="36"/>
          <w:highlight w:val="none"/>
        </w:rPr>
      </w:pPr>
      <w:bookmarkStart w:id="81" w:name="_Toc17109"/>
      <w:r>
        <w:rPr>
          <w:rFonts w:hint="eastAsia" w:ascii="黑体" w:hAnsi="黑体" w:eastAsia="黑体"/>
          <w:b/>
          <w:color w:val="auto"/>
          <w:sz w:val="36"/>
          <w:szCs w:val="36"/>
          <w:highlight w:val="none"/>
        </w:rPr>
        <w:t>五、响应文件组成</w:t>
      </w:r>
      <w:bookmarkEnd w:id="81"/>
    </w:p>
    <w:p>
      <w:pPr>
        <w:widowControl/>
        <w:tabs>
          <w:tab w:val="left" w:pos="753"/>
        </w:tabs>
        <w:adjustRightInd w:val="0"/>
        <w:snapToGrid w:val="0"/>
        <w:spacing w:before="156" w:beforeLines="50" w:line="360" w:lineRule="auto"/>
        <w:jc w:val="center"/>
        <w:rPr>
          <w:rFonts w:ascii="宋体" w:hAnsi="宋体"/>
          <w:color w:val="auto"/>
          <w:sz w:val="24"/>
          <w:highlight w:val="none"/>
        </w:rPr>
      </w:pPr>
      <w:bookmarkStart w:id="82" w:name="_Toc20690"/>
    </w:p>
    <w:p>
      <w:pPr>
        <w:widowControl/>
        <w:tabs>
          <w:tab w:val="left" w:pos="753"/>
        </w:tabs>
        <w:adjustRightInd w:val="0"/>
        <w:snapToGrid w:val="0"/>
        <w:spacing w:before="156" w:beforeLines="50" w:line="360" w:lineRule="auto"/>
        <w:jc w:val="center"/>
        <w:rPr>
          <w:rFonts w:ascii="宋体" w:hAnsi="宋体"/>
          <w:color w:val="auto"/>
          <w:sz w:val="24"/>
          <w:highlight w:val="none"/>
        </w:rPr>
      </w:pPr>
      <w:r>
        <w:rPr>
          <w:rFonts w:hint="eastAsia" w:ascii="宋体" w:hAnsi="宋体"/>
          <w:color w:val="auto"/>
          <w:sz w:val="24"/>
          <w:highlight w:val="none"/>
        </w:rPr>
        <w:t>目录</w:t>
      </w:r>
    </w:p>
    <w:p>
      <w:pPr>
        <w:adjustRightInd w:val="0"/>
        <w:snapToGrid w:val="0"/>
        <w:spacing w:before="156" w:beforeLines="50" w:line="360" w:lineRule="auto"/>
        <w:rPr>
          <w:rFonts w:ascii="宋体"/>
          <w:color w:val="auto"/>
          <w:highlight w:val="none"/>
        </w:rPr>
      </w:pPr>
      <w:r>
        <w:rPr>
          <w:rFonts w:hint="eastAsia" w:ascii="宋体"/>
          <w:color w:val="auto"/>
          <w:highlight w:val="none"/>
        </w:rPr>
        <w:t>供应商的响应文件应包含以下部分：</w:t>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格式1、谈判响应声明</w:t>
      </w:r>
      <w:r>
        <w:rPr>
          <w:rFonts w:hint="eastAsia" w:ascii="宋体" w:hAnsi="宋体"/>
          <w:color w:val="auto"/>
          <w:szCs w:val="21"/>
          <w:highlight w:val="none"/>
        </w:rPr>
        <w:tab/>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格式2、报价一览表</w:t>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格式3、保证金缴纳证明材料</w:t>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格式4、供应商基本情况</w:t>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格式5、商务、技术条款偏离表</w:t>
      </w:r>
      <w:r>
        <w:rPr>
          <w:rFonts w:hint="eastAsia" w:ascii="宋体" w:hAnsi="宋体"/>
          <w:color w:val="auto"/>
          <w:szCs w:val="21"/>
          <w:highlight w:val="none"/>
        </w:rPr>
        <w:tab/>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格式6、施工组织设计</w:t>
      </w:r>
      <w:r>
        <w:rPr>
          <w:rFonts w:hint="eastAsia" w:ascii="宋体" w:hAnsi="宋体"/>
          <w:color w:val="auto"/>
          <w:szCs w:val="21"/>
          <w:highlight w:val="none"/>
        </w:rPr>
        <w:tab/>
      </w:r>
    </w:p>
    <w:p>
      <w:pPr>
        <w:adjustRightInd w:val="0"/>
        <w:snapToGrid w:val="0"/>
        <w:spacing w:line="360" w:lineRule="auto"/>
        <w:ind w:right="24" w:firstLine="420" w:firstLineChars="200"/>
        <w:outlineLvl w:val="2"/>
        <w:rPr>
          <w:rFonts w:ascii="宋体" w:hAnsi="宋体"/>
          <w:color w:val="auto"/>
          <w:szCs w:val="21"/>
          <w:highlight w:val="none"/>
        </w:rPr>
      </w:pPr>
      <w:r>
        <w:rPr>
          <w:rFonts w:hint="eastAsia" w:ascii="宋体" w:hAnsi="宋体"/>
          <w:color w:val="auto"/>
          <w:szCs w:val="21"/>
          <w:highlight w:val="none"/>
        </w:rPr>
        <w:t>格式7、供应商认为需要提供的其它资料</w:t>
      </w:r>
      <w:r>
        <w:rPr>
          <w:rFonts w:hint="eastAsia" w:ascii="宋体" w:hAnsi="宋体"/>
          <w:color w:val="auto"/>
          <w:szCs w:val="21"/>
          <w:highlight w:val="none"/>
        </w:rPr>
        <w:tab/>
      </w:r>
    </w:p>
    <w:p>
      <w:pPr>
        <w:adjustRightInd w:val="0"/>
        <w:snapToGrid w:val="0"/>
        <w:spacing w:line="360" w:lineRule="auto"/>
        <w:ind w:right="24" w:firstLine="420" w:firstLineChars="200"/>
        <w:outlineLvl w:val="2"/>
        <w:rPr>
          <w:rFonts w:ascii="宋体" w:hAnsi="宋体" w:cs="宋体"/>
          <w:bCs/>
          <w:color w:val="auto"/>
          <w:szCs w:val="21"/>
          <w:highlight w:val="none"/>
        </w:rPr>
      </w:pPr>
      <w:r>
        <w:rPr>
          <w:rFonts w:hint="eastAsia" w:ascii="宋体" w:hAnsi="宋体"/>
          <w:color w:val="auto"/>
          <w:szCs w:val="21"/>
          <w:highlight w:val="none"/>
        </w:rPr>
        <w:t>格式8、最后报价</w:t>
      </w:r>
      <w:r>
        <w:rPr>
          <w:rFonts w:hint="eastAsia" w:ascii="宋体" w:hAnsi="宋体"/>
          <w:color w:val="auto"/>
          <w:szCs w:val="21"/>
          <w:highlight w:val="none"/>
        </w:rPr>
        <w:tab/>
      </w:r>
      <w:r>
        <w:rPr>
          <w:rFonts w:hint="eastAsia" w:ascii="宋体" w:hAnsi="宋体"/>
          <w:color w:val="auto"/>
          <w:szCs w:val="21"/>
          <w:highlight w:val="none"/>
        </w:rPr>
        <w:t>（不需要与响应文件一起提交）</w:t>
      </w:r>
    </w:p>
    <w:p>
      <w:pPr>
        <w:adjustRightInd w:val="0"/>
        <w:snapToGrid w:val="0"/>
        <w:spacing w:line="360" w:lineRule="auto"/>
        <w:ind w:right="24"/>
        <w:outlineLvl w:val="2"/>
        <w:rPr>
          <w:rFonts w:ascii="宋体" w:hAnsi="宋体" w:cs="宋体"/>
          <w:bCs/>
          <w:color w:val="auto"/>
          <w:szCs w:val="21"/>
          <w:highlight w:val="none"/>
        </w:rPr>
      </w:pPr>
    </w:p>
    <w:p>
      <w:pPr>
        <w:adjustRightInd w:val="0"/>
        <w:snapToGrid w:val="0"/>
        <w:spacing w:line="360" w:lineRule="auto"/>
        <w:ind w:right="24"/>
        <w:outlineLvl w:val="2"/>
        <w:rPr>
          <w:rFonts w:ascii="宋体" w:hAnsi="宋体" w:cs="宋体"/>
          <w:bCs/>
          <w:color w:val="auto"/>
          <w:szCs w:val="21"/>
          <w:highlight w:val="none"/>
        </w:rPr>
      </w:pPr>
    </w:p>
    <w:p>
      <w:pPr>
        <w:adjustRightInd w:val="0"/>
        <w:snapToGrid w:val="0"/>
        <w:spacing w:line="360" w:lineRule="auto"/>
        <w:ind w:right="24"/>
        <w:outlineLvl w:val="2"/>
        <w:rPr>
          <w:rFonts w:ascii="宋体" w:hAnsi="宋体" w:cs="宋体"/>
          <w:bCs/>
          <w:color w:val="auto"/>
          <w:szCs w:val="21"/>
          <w:highlight w:val="none"/>
        </w:rPr>
      </w:pPr>
    </w:p>
    <w:p>
      <w:pPr>
        <w:adjustRightInd w:val="0"/>
        <w:snapToGrid w:val="0"/>
        <w:spacing w:line="360" w:lineRule="auto"/>
        <w:ind w:right="24"/>
        <w:outlineLvl w:val="2"/>
        <w:rPr>
          <w:rFonts w:ascii="宋体" w:hAnsi="宋体" w:cs="宋体"/>
          <w:bCs/>
          <w:color w:val="auto"/>
          <w:szCs w:val="21"/>
          <w:highlight w:val="none"/>
        </w:rPr>
      </w:pPr>
    </w:p>
    <w:p>
      <w:pPr>
        <w:adjustRightInd w:val="0"/>
        <w:snapToGrid w:val="0"/>
        <w:spacing w:line="360" w:lineRule="auto"/>
        <w:ind w:right="24"/>
        <w:outlineLvl w:val="2"/>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pStyle w:val="2"/>
        <w:ind w:firstLine="200"/>
        <w:rPr>
          <w:rFonts w:ascii="宋体" w:hAnsi="宋体" w:cs="宋体"/>
          <w:bCs/>
          <w:color w:val="auto"/>
          <w:szCs w:val="21"/>
          <w:highlight w:val="none"/>
        </w:rPr>
      </w:pPr>
    </w:p>
    <w:p>
      <w:pPr>
        <w:adjustRightInd w:val="0"/>
        <w:snapToGrid w:val="0"/>
        <w:spacing w:line="360" w:lineRule="auto"/>
        <w:jc w:val="center"/>
        <w:rPr>
          <w:rFonts w:ascii="宋体" w:hAnsi="宋体"/>
          <w:b/>
          <w:bCs/>
          <w:color w:val="auto"/>
          <w:sz w:val="84"/>
          <w:szCs w:val="84"/>
          <w:highlight w:val="none"/>
        </w:rPr>
      </w:pPr>
    </w:p>
    <w:p>
      <w:pPr>
        <w:pStyle w:val="2"/>
        <w:ind w:firstLine="843"/>
        <w:rPr>
          <w:rFonts w:ascii="宋体" w:hAnsi="宋体"/>
          <w:b/>
          <w:bCs/>
          <w:color w:val="auto"/>
          <w:sz w:val="84"/>
          <w:szCs w:val="84"/>
          <w:highlight w:val="none"/>
        </w:rPr>
      </w:pPr>
    </w:p>
    <w:p>
      <w:pPr>
        <w:pStyle w:val="2"/>
        <w:ind w:firstLine="843"/>
        <w:rPr>
          <w:rFonts w:ascii="宋体" w:hAnsi="宋体"/>
          <w:b/>
          <w:bCs/>
          <w:color w:val="auto"/>
          <w:sz w:val="84"/>
          <w:szCs w:val="84"/>
          <w:highlight w:val="none"/>
        </w:rPr>
      </w:pPr>
    </w:p>
    <w:p>
      <w:pPr>
        <w:adjustRightInd w:val="0"/>
        <w:snapToGrid w:val="0"/>
        <w:spacing w:line="360" w:lineRule="auto"/>
        <w:jc w:val="center"/>
        <w:rPr>
          <w:rFonts w:ascii="宋体" w:hAnsi="宋体"/>
          <w:b/>
          <w:bCs/>
          <w:color w:val="auto"/>
          <w:sz w:val="84"/>
          <w:szCs w:val="84"/>
          <w:highlight w:val="none"/>
        </w:rPr>
      </w:pPr>
    </w:p>
    <w:p>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响 应 文 件</w:t>
      </w:r>
    </w:p>
    <w:p>
      <w:pPr>
        <w:adjustRightInd w:val="0"/>
        <w:snapToGrid w:val="0"/>
        <w:spacing w:line="360" w:lineRule="auto"/>
        <w:rPr>
          <w:rFonts w:ascii="黑体" w:hAnsi="黑体" w:eastAsia="黑体"/>
          <w:b/>
          <w:color w:val="auto"/>
          <w:sz w:val="32"/>
          <w:szCs w:val="32"/>
          <w:highlight w:val="none"/>
        </w:rPr>
      </w:pPr>
    </w:p>
    <w:p>
      <w:pPr>
        <w:adjustRightInd w:val="0"/>
        <w:snapToGrid w:val="0"/>
        <w:spacing w:line="360" w:lineRule="auto"/>
        <w:rPr>
          <w:rFonts w:ascii="宋体" w:hAnsi="宋体"/>
          <w:b/>
          <w:color w:val="auto"/>
          <w:sz w:val="30"/>
          <w:szCs w:val="30"/>
          <w:highlight w:val="none"/>
        </w:rPr>
      </w:pPr>
      <w:r>
        <w:rPr>
          <w:rFonts w:hint="eastAsia" w:ascii="宋体" w:hAnsi="宋体"/>
          <w:b/>
          <w:color w:val="auto"/>
          <w:sz w:val="32"/>
          <w:szCs w:val="32"/>
          <w:highlight w:val="none"/>
        </w:rPr>
        <w:t xml:space="preserve">                     </w:t>
      </w:r>
    </w:p>
    <w:p>
      <w:pPr>
        <w:pStyle w:val="16"/>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pPr>
        <w:pStyle w:val="16"/>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pPr>
        <w:pStyle w:val="16"/>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项 目 编 号:</w:t>
      </w:r>
      <w:r>
        <w:rPr>
          <w:rFonts w:hint="eastAsia" w:hAnsi="宋体"/>
          <w:b/>
          <w:bCs/>
          <w:color w:val="auto"/>
          <w:sz w:val="30"/>
          <w:szCs w:val="30"/>
          <w:highlight w:val="none"/>
          <w:u w:val="single"/>
        </w:rPr>
        <w:t xml:space="preserve">                       </w:t>
      </w:r>
    </w:p>
    <w:p>
      <w:pPr>
        <w:pStyle w:val="16"/>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pPr>
        <w:adjustRightInd w:val="0"/>
        <w:snapToGrid w:val="0"/>
        <w:spacing w:line="360" w:lineRule="auto"/>
        <w:rPr>
          <w:rFonts w:ascii="黑体" w:hAnsi="黑体" w:eastAsia="黑体"/>
          <w:color w:val="auto"/>
          <w:sz w:val="30"/>
          <w:szCs w:val="30"/>
          <w:highlight w:val="none"/>
        </w:rPr>
      </w:pPr>
    </w:p>
    <w:p>
      <w:pPr>
        <w:adjustRightInd w:val="0"/>
        <w:snapToGrid w:val="0"/>
        <w:rPr>
          <w:rFonts w:ascii="黑体" w:hAnsi="宋体" w:eastAsia="黑体"/>
          <w:color w:val="auto"/>
          <w:sz w:val="30"/>
          <w:szCs w:val="30"/>
          <w:highlight w:val="none"/>
        </w:rPr>
      </w:pPr>
    </w:p>
    <w:p>
      <w:pPr>
        <w:adjustRightInd w:val="0"/>
        <w:snapToGrid w:val="0"/>
        <w:spacing w:line="360" w:lineRule="auto"/>
        <w:rPr>
          <w:rFonts w:ascii="黑体" w:hAnsi="宋体" w:eastAsia="黑体"/>
          <w:color w:val="auto"/>
          <w:sz w:val="30"/>
          <w:szCs w:val="30"/>
          <w:highlight w:val="none"/>
        </w:rPr>
      </w:pPr>
    </w:p>
    <w:p>
      <w:pPr>
        <w:adjustRightInd w:val="0"/>
        <w:snapToGrid w:val="0"/>
        <w:spacing w:line="360" w:lineRule="auto"/>
        <w:rPr>
          <w:rFonts w:ascii="黑体" w:hAnsi="宋体" w:eastAsia="黑体"/>
          <w:color w:val="auto"/>
          <w:sz w:val="30"/>
          <w:szCs w:val="30"/>
          <w:highlight w:val="none"/>
        </w:rPr>
      </w:pPr>
    </w:p>
    <w:p>
      <w:pPr>
        <w:adjustRightInd w:val="0"/>
        <w:snapToGrid w:val="0"/>
        <w:spacing w:line="360" w:lineRule="auto"/>
        <w:rPr>
          <w:rFonts w:ascii="黑体" w:hAnsi="宋体" w:eastAsia="黑体"/>
          <w:color w:val="auto"/>
          <w:sz w:val="30"/>
          <w:szCs w:val="30"/>
          <w:highlight w:val="none"/>
        </w:rPr>
      </w:pPr>
    </w:p>
    <w:p>
      <w:pPr>
        <w:adjustRightInd w:val="0"/>
        <w:snapToGrid w:val="0"/>
        <w:spacing w:line="360" w:lineRule="auto"/>
        <w:ind w:firstLine="1984" w:firstLineChars="620"/>
        <w:rPr>
          <w:rFonts w:ascii="黑体" w:hAnsi="黑体" w:eastAsia="黑体"/>
          <w:color w:val="auto"/>
          <w:sz w:val="32"/>
          <w:szCs w:val="32"/>
          <w:highlight w:val="none"/>
          <w:u w:val="single"/>
        </w:rPr>
      </w:pPr>
      <w:r>
        <w:rPr>
          <w:rFonts w:hint="eastAsia" w:ascii="黑体" w:hAnsi="黑体" w:eastAsia="黑体"/>
          <w:color w:val="auto"/>
          <w:sz w:val="32"/>
          <w:szCs w:val="32"/>
          <w:highlight w:val="none"/>
        </w:rPr>
        <w:t>供应商：</w:t>
      </w:r>
      <w:r>
        <w:rPr>
          <w:rFonts w:hint="eastAsia" w:ascii="黑体" w:hAnsi="黑体" w:eastAsia="黑体"/>
          <w:color w:val="auto"/>
          <w:sz w:val="32"/>
          <w:szCs w:val="32"/>
          <w:highlight w:val="none"/>
          <w:u w:val="single"/>
        </w:rPr>
        <w:t xml:space="preserve">                         </w:t>
      </w:r>
    </w:p>
    <w:p>
      <w:pPr>
        <w:jc w:val="center"/>
        <w:rPr>
          <w:rFonts w:ascii="黑体" w:hAnsi="黑体" w:eastAsia="黑体"/>
          <w:color w:val="auto"/>
          <w:sz w:val="32"/>
          <w:szCs w:val="32"/>
          <w:highlight w:val="none"/>
        </w:rPr>
      </w:pPr>
    </w:p>
    <w:p>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年  月  日</w:t>
      </w:r>
    </w:p>
    <w:p>
      <w:pPr>
        <w:pStyle w:val="2"/>
        <w:ind w:firstLine="200"/>
        <w:outlineLvl w:val="1"/>
        <w:rPr>
          <w:rFonts w:ascii="宋体" w:hAnsi="宋体" w:cs="宋体"/>
          <w:bCs/>
          <w:color w:val="auto"/>
          <w:szCs w:val="21"/>
          <w:highlight w:val="none"/>
        </w:rPr>
      </w:pPr>
      <w:r>
        <w:rPr>
          <w:rFonts w:hAnsi="宋体"/>
          <w:color w:val="auto"/>
          <w:highlight w:val="none"/>
        </w:rPr>
        <w:br w:type="page"/>
      </w:r>
      <w:bookmarkStart w:id="83" w:name="_Toc8458"/>
      <w:r>
        <w:rPr>
          <w:rFonts w:hint="eastAsia" w:ascii="宋体" w:hAnsi="宋体" w:cs="宋体"/>
          <w:bCs/>
          <w:color w:val="auto"/>
          <w:szCs w:val="21"/>
          <w:highlight w:val="none"/>
        </w:rPr>
        <w:t>格式1、谈判响应声明</w:t>
      </w:r>
      <w:bookmarkEnd w:id="83"/>
    </w:p>
    <w:p>
      <w:pPr>
        <w:pStyle w:val="40"/>
        <w:ind w:firstLine="0" w:firstLineChars="0"/>
        <w:rPr>
          <w:color w:val="auto"/>
          <w:highlight w:val="none"/>
        </w:rPr>
      </w:pPr>
    </w:p>
    <w:p>
      <w:pPr>
        <w:adjustRightInd w:val="0"/>
        <w:snapToGrid w:val="0"/>
        <w:spacing w:line="360" w:lineRule="auto"/>
        <w:ind w:right="24"/>
        <w:jc w:val="center"/>
        <w:rPr>
          <w:rFonts w:ascii="黑体" w:hAnsi="华文中宋" w:eastAsia="黑体"/>
          <w:b/>
          <w:color w:val="auto"/>
          <w:sz w:val="28"/>
          <w:szCs w:val="28"/>
          <w:highlight w:val="none"/>
        </w:rPr>
      </w:pPr>
      <w:r>
        <w:rPr>
          <w:rFonts w:hint="eastAsia" w:ascii="黑体" w:hAnsi="华文中宋" w:eastAsia="黑体"/>
          <w:b/>
          <w:color w:val="auto"/>
          <w:sz w:val="28"/>
          <w:szCs w:val="28"/>
          <w:highlight w:val="none"/>
        </w:rPr>
        <w:t>谈判响应声明</w:t>
      </w:r>
      <w:bookmarkEnd w:id="82"/>
    </w:p>
    <w:p>
      <w:pPr>
        <w:adjustRightInd w:val="0"/>
        <w:snapToGrid w:val="0"/>
        <w:spacing w:line="360" w:lineRule="auto"/>
        <w:rPr>
          <w:rFonts w:ascii="仿宋_GB2312" w:hAnsi="宋体" w:eastAsia="仿宋_GB2312"/>
          <w:color w:val="auto"/>
          <w:sz w:val="24"/>
          <w:highlight w:val="none"/>
        </w:rPr>
      </w:pPr>
    </w:p>
    <w:p>
      <w:pPr>
        <w:adjustRightInd w:val="0"/>
        <w:snapToGrid w:val="0"/>
        <w:spacing w:before="156" w:beforeLines="50" w:line="360" w:lineRule="auto"/>
        <w:rPr>
          <w:rFonts w:ascii="宋体"/>
          <w:color w:val="auto"/>
          <w:szCs w:val="21"/>
          <w:highlight w:val="none"/>
        </w:rPr>
      </w:pPr>
      <w:r>
        <w:rPr>
          <w:rFonts w:hint="eastAsia" w:ascii="宋体" w:hAnsi="宋体"/>
          <w:color w:val="auto"/>
          <w:szCs w:val="21"/>
          <w:highlight w:val="none"/>
        </w:rPr>
        <w:t>致</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采购人</w:t>
      </w:r>
      <w:r>
        <w:rPr>
          <w:rFonts w:ascii="宋体" w:hAnsi="宋体"/>
          <w:color w:val="auto"/>
          <w:szCs w:val="21"/>
          <w:highlight w:val="none"/>
        </w:rPr>
        <w:t>)</w:t>
      </w:r>
      <w:r>
        <w:rPr>
          <w:rFonts w:hint="eastAsia" w:ascii="宋体" w:hAnsi="宋体"/>
          <w:color w:val="auto"/>
          <w:szCs w:val="21"/>
          <w:highlight w:val="none"/>
        </w:rPr>
        <w:t>：</w:t>
      </w:r>
    </w:p>
    <w:p>
      <w:pPr>
        <w:adjustRightInd w:val="0"/>
        <w:snapToGrid w:val="0"/>
        <w:spacing w:before="156" w:beforeLines="50" w:line="360" w:lineRule="auto"/>
        <w:ind w:firstLine="420" w:firstLineChars="200"/>
        <w:rPr>
          <w:rFonts w:ascii="宋体"/>
          <w:color w:val="auto"/>
          <w:szCs w:val="21"/>
          <w:highlight w:val="none"/>
        </w:rPr>
      </w:pPr>
      <w:r>
        <w:rPr>
          <w:rFonts w:hint="eastAsia" w:ascii="宋体" w:hAnsi="宋体"/>
          <w:color w:val="auto"/>
          <w:szCs w:val="21"/>
          <w:highlight w:val="none"/>
        </w:rPr>
        <w:t>我方己仔细研究了</w:t>
      </w:r>
      <w:r>
        <w:rPr>
          <w:rFonts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的采购文件（项目编号：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）的全部内容，</w:t>
      </w:r>
      <w:r>
        <w:rPr>
          <w:rFonts w:hint="eastAsia" w:hAnsi="宋体"/>
          <w:color w:val="auto"/>
          <w:highlight w:val="none"/>
        </w:rPr>
        <w:t>知悉参加谈判的风险，我方承诺接受采购文件的全部条款且无任何异议。</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一、我方同意在采购文件中规定的提交首次响应文件截止时间起</w:t>
      </w:r>
      <w:r>
        <w:rPr>
          <w:rFonts w:hint="eastAsia" w:hAnsi="宋体"/>
          <w:color w:val="auto"/>
          <w:highlight w:val="none"/>
          <w:u w:val="single"/>
        </w:rPr>
        <w:t xml:space="preserve">    </w:t>
      </w:r>
      <w:r>
        <w:rPr>
          <w:rFonts w:hint="eastAsia" w:hAnsi="宋体"/>
          <w:color w:val="auto"/>
          <w:highlight w:val="none"/>
        </w:rPr>
        <w:t>日内</w:t>
      </w:r>
      <w:r>
        <w:rPr>
          <w:rFonts w:hAnsi="宋体"/>
          <w:color w:val="auto"/>
          <w:highlight w:val="none"/>
        </w:rPr>
        <w:t>(</w:t>
      </w:r>
      <w:r>
        <w:rPr>
          <w:rFonts w:hint="eastAsia" w:hAnsi="宋体"/>
          <w:color w:val="auto"/>
          <w:highlight w:val="none"/>
        </w:rPr>
        <w:t>响应文件有效期</w:t>
      </w:r>
      <w:r>
        <w:rPr>
          <w:rFonts w:hAnsi="宋体"/>
          <w:color w:val="auto"/>
          <w:highlight w:val="none"/>
        </w:rPr>
        <w:t>)</w:t>
      </w:r>
      <w:r>
        <w:rPr>
          <w:rFonts w:hint="eastAsia" w:hAnsi="宋体"/>
          <w:color w:val="auto"/>
          <w:highlight w:val="none"/>
        </w:rPr>
        <w:t>遵守本响应文件中的承诺且在此期限期满之前均具有法律约束力。</w:t>
      </w:r>
    </w:p>
    <w:p>
      <w:pPr>
        <w:pStyle w:val="16"/>
        <w:adjustRightInd w:val="0"/>
        <w:snapToGrid w:val="0"/>
        <w:spacing w:before="156" w:beforeLines="50" w:line="360" w:lineRule="auto"/>
        <w:ind w:firstLine="420" w:firstLineChars="200"/>
        <w:rPr>
          <w:rFonts w:hAnsi="宋体"/>
          <w:bCs/>
          <w:color w:val="auto"/>
          <w:highlight w:val="none"/>
        </w:rPr>
      </w:pPr>
      <w:r>
        <w:rPr>
          <w:rFonts w:hint="eastAsia" w:hAnsi="宋体"/>
          <w:color w:val="auto"/>
          <w:highlight w:val="none"/>
        </w:rPr>
        <w:t>二、我方提交响应文件正本一份和副本</w:t>
      </w:r>
      <w:r>
        <w:rPr>
          <w:rFonts w:hint="eastAsia" w:hAnsi="宋体"/>
          <w:color w:val="auto"/>
          <w:highlight w:val="none"/>
          <w:u w:val="single"/>
        </w:rPr>
        <w:t xml:space="preserve">     </w:t>
      </w:r>
      <w:r>
        <w:rPr>
          <w:rFonts w:hint="eastAsia" w:hAnsi="宋体"/>
          <w:color w:val="auto"/>
          <w:highlight w:val="none"/>
        </w:rPr>
        <w:t>份，并保证响应文件提供的数据和材料是真实、准确的。</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三、我方愿意向贵方提供任何与本项采购有关的数据、情况和技术资料。若贵方需要，我方愿意提供我方作出的一切承诺的证明材料。</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四、我方愿意按采购文件规定和采购小组要求重新提交响应文件和最后报价。</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五、我方承诺遵守国家法律规定，保证在获得成交资格后，按照采购文件确定的事项签订采购合同，履行双方所签订的合同，并承担合同规定的责任和义务。</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六、我方承诺在参与竞争性谈判过程中，若出现违法情形，我方同意接受贵单位按照法律法规相关条款规定作出的处罚。</w:t>
      </w:r>
    </w:p>
    <w:p>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七、我方的联系方式：</w:t>
      </w:r>
    </w:p>
    <w:p>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pStyle w:val="16"/>
        <w:adjustRightInd w:val="0"/>
        <w:snapToGrid w:val="0"/>
        <w:spacing w:before="156" w:beforeLines="50" w:line="360" w:lineRule="auto"/>
        <w:ind w:firstLine="420" w:firstLineChars="200"/>
        <w:rPr>
          <w:rFonts w:hAnsi="宋体"/>
          <w:color w:val="auto"/>
          <w:highlight w:val="none"/>
        </w:rPr>
      </w:pP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附件</w:t>
      </w:r>
      <w:r>
        <w:rPr>
          <w:rFonts w:hAnsi="宋体"/>
          <w:color w:val="auto"/>
          <w:highlight w:val="none"/>
        </w:rPr>
        <w:t>1</w:t>
      </w:r>
      <w:r>
        <w:rPr>
          <w:rFonts w:hint="eastAsia" w:hAnsi="宋体"/>
          <w:color w:val="auto"/>
          <w:highlight w:val="none"/>
        </w:rPr>
        <w:t>：法定代表人身份证明</w:t>
      </w:r>
    </w:p>
    <w:p>
      <w:pPr>
        <w:pStyle w:val="16"/>
        <w:adjustRightInd w:val="0"/>
        <w:snapToGrid w:val="0"/>
        <w:spacing w:before="156" w:beforeLines="50" w:line="360" w:lineRule="auto"/>
        <w:ind w:firstLine="420" w:firstLineChars="200"/>
        <w:rPr>
          <w:rFonts w:hAnsi="宋体"/>
          <w:color w:val="auto"/>
          <w:highlight w:val="none"/>
        </w:rPr>
      </w:pPr>
      <w:r>
        <w:rPr>
          <w:rFonts w:hint="eastAsia" w:hAnsi="宋体"/>
          <w:color w:val="auto"/>
          <w:highlight w:val="none"/>
        </w:rPr>
        <w:t>附件</w:t>
      </w:r>
      <w:r>
        <w:rPr>
          <w:rFonts w:hAnsi="宋体"/>
          <w:color w:val="auto"/>
          <w:highlight w:val="none"/>
        </w:rPr>
        <w:t>2</w:t>
      </w:r>
      <w:r>
        <w:rPr>
          <w:rFonts w:hint="eastAsia" w:hAnsi="宋体"/>
          <w:color w:val="auto"/>
          <w:highlight w:val="none"/>
        </w:rPr>
        <w:t>：法定代表人授权书</w:t>
      </w:r>
    </w:p>
    <w:p>
      <w:pPr>
        <w:adjustRightInd w:val="0"/>
        <w:snapToGrid w:val="0"/>
        <w:spacing w:line="360" w:lineRule="auto"/>
        <w:ind w:right="24"/>
        <w:rPr>
          <w:rFonts w:ascii="宋体"/>
          <w:bCs/>
          <w:color w:val="auto"/>
          <w:szCs w:val="21"/>
          <w:highlight w:val="none"/>
        </w:rPr>
      </w:pPr>
    </w:p>
    <w:p>
      <w:pPr>
        <w:adjustRightInd w:val="0"/>
        <w:snapToGrid w:val="0"/>
        <w:spacing w:line="360" w:lineRule="auto"/>
        <w:rPr>
          <w:rFonts w:ascii="宋体"/>
          <w:color w:val="auto"/>
          <w:szCs w:val="21"/>
          <w:highlight w:val="none"/>
        </w:rPr>
      </w:pPr>
      <w:r>
        <w:rPr>
          <w:rFonts w:hint="eastAsia" w:ascii="宋体" w:hAnsi="宋体"/>
          <w:color w:val="auto"/>
          <w:szCs w:val="21"/>
          <w:highlight w:val="none"/>
        </w:rPr>
        <w:t>供应商</w:t>
      </w:r>
      <w:r>
        <w:rPr>
          <w:rFonts w:hint="eastAsia" w:hAnsi="宋体"/>
          <w:color w:val="auto"/>
          <w:szCs w:val="21"/>
          <w:highlight w:val="none"/>
        </w:rPr>
        <w:t>名称</w:t>
      </w:r>
      <w:r>
        <w:rPr>
          <w:rFonts w:hint="eastAsia" w:ascii="宋体" w:hAnsi="宋体"/>
          <w:color w:val="auto"/>
          <w:szCs w:val="21"/>
          <w:highlight w:val="none"/>
        </w:rPr>
        <w:t>（盖单位公章）：</w:t>
      </w:r>
    </w:p>
    <w:p>
      <w:pPr>
        <w:adjustRightInd w:val="0"/>
        <w:snapToGrid w:val="0"/>
        <w:spacing w:line="360" w:lineRule="auto"/>
        <w:rPr>
          <w:rFonts w:ascii="宋体"/>
          <w:color w:val="auto"/>
          <w:szCs w:val="21"/>
          <w:highlight w:val="none"/>
        </w:rPr>
      </w:pPr>
      <w:r>
        <w:rPr>
          <w:rFonts w:hint="eastAsia" w:ascii="宋体" w:hAnsi="宋体"/>
          <w:color w:val="auto"/>
          <w:szCs w:val="21"/>
          <w:highlight w:val="none"/>
        </w:rPr>
        <w:t>法定代表人或其委托代理人（签字）：</w:t>
      </w:r>
    </w:p>
    <w:p>
      <w:pPr>
        <w:adjustRightInd w:val="0"/>
        <w:snapToGrid w:val="0"/>
        <w:spacing w:line="360" w:lineRule="auto"/>
        <w:rPr>
          <w:rFonts w:ascii="宋体"/>
          <w:color w:val="auto"/>
          <w:szCs w:val="21"/>
          <w:highlight w:val="none"/>
        </w:rPr>
      </w:pPr>
      <w:r>
        <w:rPr>
          <w:rFonts w:hint="eastAsia" w:ascii="宋体" w:hAnsi="宋体"/>
          <w:color w:val="auto"/>
          <w:szCs w:val="21"/>
          <w:highlight w:val="none"/>
        </w:rPr>
        <w:t>日期：  年  月  日</w:t>
      </w:r>
    </w:p>
    <w:p>
      <w:pPr>
        <w:adjustRightInd w:val="0"/>
        <w:snapToGrid w:val="0"/>
        <w:spacing w:line="360" w:lineRule="auto"/>
        <w:ind w:right="24"/>
        <w:rPr>
          <w:rFonts w:ascii="宋体"/>
          <w:bCs/>
          <w:color w:val="auto"/>
          <w:szCs w:val="21"/>
          <w:highlight w:val="none"/>
        </w:rPr>
      </w:pPr>
    </w:p>
    <w:p>
      <w:pPr>
        <w:adjustRightInd w:val="0"/>
        <w:snapToGrid w:val="0"/>
        <w:spacing w:line="360" w:lineRule="auto"/>
        <w:ind w:right="24"/>
        <w:rPr>
          <w:rFonts w:ascii="黑体" w:hAnsi="华文中宋" w:eastAsia="黑体"/>
          <w:bCs/>
          <w:color w:val="auto"/>
          <w:sz w:val="28"/>
          <w:szCs w:val="28"/>
          <w:highlight w:val="none"/>
        </w:rPr>
      </w:pPr>
    </w:p>
    <w:p>
      <w:pPr>
        <w:adjustRightInd w:val="0"/>
        <w:snapToGrid w:val="0"/>
        <w:spacing w:line="360" w:lineRule="auto"/>
        <w:ind w:right="24"/>
        <w:rPr>
          <w:rFonts w:ascii="黑体" w:hAnsi="华文中宋" w:eastAsia="黑体"/>
          <w:bCs/>
          <w:color w:val="auto"/>
          <w:sz w:val="24"/>
          <w:highlight w:val="none"/>
        </w:rPr>
      </w:pPr>
    </w:p>
    <w:p>
      <w:pPr>
        <w:adjustRightInd w:val="0"/>
        <w:snapToGrid w:val="0"/>
        <w:spacing w:line="360" w:lineRule="auto"/>
        <w:ind w:right="24"/>
        <w:rPr>
          <w:rFonts w:ascii="黑体" w:hAnsi="华文中宋" w:eastAsia="黑体"/>
          <w:bCs/>
          <w:color w:val="auto"/>
          <w:sz w:val="24"/>
          <w:highlight w:val="none"/>
        </w:rPr>
      </w:pPr>
    </w:p>
    <w:p>
      <w:pPr>
        <w:adjustRightInd w:val="0"/>
        <w:snapToGrid w:val="0"/>
        <w:spacing w:line="360" w:lineRule="auto"/>
        <w:ind w:right="24"/>
        <w:rPr>
          <w:rFonts w:ascii="黑体" w:hAnsi="华文中宋" w:eastAsia="黑体"/>
          <w:bCs/>
          <w:color w:val="auto"/>
          <w:sz w:val="24"/>
          <w:highlight w:val="none"/>
        </w:rPr>
        <w:sectPr>
          <w:footerReference r:id="rId17" w:type="first"/>
          <w:footerReference r:id="rId16"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rPr>
          <w:rFonts w:ascii="宋体" w:hAnsi="宋体" w:cs="宋体"/>
          <w:bCs/>
          <w:color w:val="auto"/>
          <w:szCs w:val="21"/>
          <w:highlight w:val="none"/>
        </w:rPr>
      </w:pPr>
      <w:r>
        <w:rPr>
          <w:rFonts w:hint="eastAsia" w:ascii="宋体" w:hAnsi="宋体" w:cs="宋体"/>
          <w:bCs/>
          <w:color w:val="auto"/>
          <w:szCs w:val="21"/>
          <w:highlight w:val="none"/>
        </w:rPr>
        <w:t>附件1：</w:t>
      </w:r>
    </w:p>
    <w:p>
      <w:pPr>
        <w:adjustRightInd w:val="0"/>
        <w:snapToGrid w:val="0"/>
        <w:spacing w:line="360" w:lineRule="auto"/>
        <w:ind w:right="24"/>
        <w:jc w:val="center"/>
        <w:rPr>
          <w:rFonts w:ascii="黑体" w:hAnsi="华文中宋" w:eastAsia="黑体"/>
          <w:b/>
          <w:color w:val="auto"/>
          <w:sz w:val="28"/>
          <w:szCs w:val="28"/>
          <w:highlight w:val="none"/>
        </w:rPr>
      </w:pPr>
      <w:r>
        <w:rPr>
          <w:rFonts w:hint="eastAsia" w:ascii="黑体" w:hAnsi="华文中宋" w:eastAsia="黑体"/>
          <w:b/>
          <w:color w:val="auto"/>
          <w:sz w:val="28"/>
          <w:szCs w:val="28"/>
          <w:highlight w:val="none"/>
        </w:rPr>
        <w:t>法定代表人身份证明</w:t>
      </w:r>
    </w:p>
    <w:p>
      <w:pPr>
        <w:snapToGrid w:val="0"/>
        <w:spacing w:line="480" w:lineRule="auto"/>
        <w:rPr>
          <w:rFonts w:ascii="宋体"/>
          <w:color w:val="auto"/>
          <w:szCs w:val="21"/>
          <w:highlight w:val="none"/>
        </w:rPr>
      </w:pPr>
    </w:p>
    <w:p>
      <w:pPr>
        <w:autoSpaceDE w:val="0"/>
        <w:autoSpaceDN w:val="0"/>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olor w:val="auto"/>
          <w:szCs w:val="21"/>
          <w:highlight w:val="none"/>
        </w:rPr>
        <w:t>供应商</w:t>
      </w:r>
      <w:r>
        <w:rPr>
          <w:rFonts w:hint="eastAsia" w:ascii="宋体" w:hAnsi="宋体" w:cs="宋体"/>
          <w:color w:val="auto"/>
          <w:kern w:val="0"/>
          <w:szCs w:val="21"/>
          <w:highlight w:val="none"/>
        </w:rPr>
        <w:t xml:space="preserve">名称： </w:t>
      </w:r>
      <w:r>
        <w:rPr>
          <w:rFonts w:hint="eastAsia" w:hAnsi="宋体" w:cs="宋体"/>
          <w:color w:val="auto"/>
          <w:highlight w:val="none"/>
        </w:rPr>
        <w:t>_______________</w:t>
      </w: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autoSpaceDE w:val="0"/>
        <w:autoSpaceDN w:val="0"/>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hAnsi="宋体" w:cs="宋体"/>
          <w:color w:val="auto"/>
          <w:highlight w:val="none"/>
        </w:rPr>
        <w:t>_______________</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hAnsi="宋体" w:cs="宋体"/>
          <w:color w:val="auto"/>
          <w:highlight w:val="none"/>
        </w:rPr>
        <w:t>_______________</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pPr>
        <w:autoSpaceDE w:val="0"/>
        <w:autoSpaceDN w:val="0"/>
        <w:adjustRightInd w:val="0"/>
        <w:snapToGrid w:val="0"/>
        <w:spacing w:before="156" w:beforeLines="50"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r>
        <w:rPr>
          <w:rFonts w:hint="eastAsia" w:hAnsi="宋体" w:cs="宋体"/>
          <w:color w:val="auto"/>
          <w:highlight w:val="none"/>
        </w:rPr>
        <w:t>_______________</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6" w:beforeLines="50"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pPr>
        <w:autoSpaceDE w:val="0"/>
        <w:autoSpaceDN w:val="0"/>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w:t>
      </w:r>
    </w:p>
    <w:p>
      <w:pPr>
        <w:autoSpaceDE w:val="0"/>
        <w:autoSpaceDN w:val="0"/>
        <w:adjustRightInd w:val="0"/>
        <w:snapToGrid w:val="0"/>
        <w:spacing w:before="156" w:beforeLines="50" w:line="360" w:lineRule="auto"/>
        <w:jc w:val="left"/>
        <w:rPr>
          <w:rFonts w:ascii="宋体" w:cs="宋体"/>
          <w:color w:val="auto"/>
          <w:kern w:val="0"/>
          <w:szCs w:val="21"/>
          <w:highlight w:val="none"/>
        </w:rPr>
      </w:pPr>
      <w:r>
        <w:rPr>
          <w:rFonts w:hint="eastAsia" w:ascii="宋体" w:hAnsi="宋体" w:cs="宋体"/>
          <w:color w:val="auto"/>
          <w:kern w:val="0"/>
          <w:szCs w:val="21"/>
          <w:highlight w:val="none"/>
        </w:rPr>
        <w:t>特此证明。</w:t>
      </w:r>
    </w:p>
    <w:tbl>
      <w:tblPr>
        <w:tblStyle w:val="33"/>
        <w:tblW w:w="9628" w:type="dxa"/>
        <w:tblInd w:w="0" w:type="dxa"/>
        <w:tblBorders>
          <w:top w:val="dotDotDash" w:color="000000" w:sz="4" w:space="0"/>
          <w:left w:val="dotDotDash" w:color="000000" w:sz="4" w:space="0"/>
          <w:bottom w:val="dotDotDash" w:color="000000" w:sz="4" w:space="0"/>
          <w:right w:val="dotDotDash"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tblPrEx>
          <w:tblBorders>
            <w:top w:val="dotDotDash" w:color="000000" w:sz="4" w:space="0"/>
            <w:left w:val="dotDotDash" w:color="000000" w:sz="4" w:space="0"/>
            <w:bottom w:val="dotDotDash" w:color="000000" w:sz="4" w:space="0"/>
            <w:right w:val="dotDotDash" w:color="000000" w:sz="4" w:space="0"/>
            <w:insideH w:val="single" w:color="000000" w:sz="4" w:space="0"/>
            <w:insideV w:val="single" w:color="000000" w:sz="4" w:space="0"/>
          </w:tblBorders>
          <w:tblCellMar>
            <w:top w:w="0" w:type="dxa"/>
            <w:left w:w="108" w:type="dxa"/>
            <w:bottom w:w="0" w:type="dxa"/>
            <w:right w:w="108" w:type="dxa"/>
          </w:tblCellMar>
        </w:tblPrEx>
        <w:tc>
          <w:tcPr>
            <w:tcW w:w="9628" w:type="dxa"/>
            <w:tcBorders>
              <w:top w:val="dotDotDash" w:color="000000" w:sz="4" w:space="0"/>
              <w:bottom w:val="dotDotDash" w:color="000000" w:sz="4" w:space="0"/>
            </w:tcBorders>
          </w:tcPr>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jc w:val="center"/>
              <w:rPr>
                <w:rFonts w:hAnsi="宋体" w:cs="宋体"/>
                <w:b/>
                <w:bCs/>
                <w:color w:val="auto"/>
                <w:szCs w:val="21"/>
                <w:highlight w:val="none"/>
              </w:rPr>
            </w:pPr>
            <w:r>
              <w:rPr>
                <w:rFonts w:hint="eastAsia" w:hAnsi="宋体" w:cs="宋体"/>
                <w:b/>
                <w:bCs/>
                <w:color w:val="auto"/>
                <w:szCs w:val="21"/>
                <w:highlight w:val="none"/>
              </w:rPr>
              <w:t>附：法定代表人身份证复印件</w:t>
            </w: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tc>
      </w:tr>
    </w:tbl>
    <w:p>
      <w:pPr>
        <w:snapToGrid w:val="0"/>
        <w:spacing w:line="480" w:lineRule="auto"/>
        <w:rPr>
          <w:rFonts w:ascii="宋体"/>
          <w:color w:val="auto"/>
          <w:szCs w:val="21"/>
          <w:highlight w:val="none"/>
        </w:rPr>
      </w:pPr>
    </w:p>
    <w:p>
      <w:pPr>
        <w:snapToGrid w:val="0"/>
        <w:spacing w:line="480" w:lineRule="auto"/>
        <w:rPr>
          <w:rFonts w:ascii="宋体"/>
          <w:color w:val="auto"/>
          <w:szCs w:val="21"/>
          <w:highlight w:val="none"/>
        </w:rPr>
      </w:pPr>
    </w:p>
    <w:p>
      <w:pPr>
        <w:pStyle w:val="16"/>
        <w:spacing w:before="156" w:beforeLines="50" w:line="360" w:lineRule="auto"/>
        <w:rPr>
          <w:rFonts w:hAnsi="宋体"/>
          <w:color w:val="auto"/>
          <w:szCs w:val="21"/>
          <w:highlight w:val="none"/>
          <w:u w:val="single"/>
        </w:rPr>
      </w:pPr>
      <w:r>
        <w:rPr>
          <w:rFonts w:hint="eastAsia" w:hAnsi="宋体"/>
          <w:color w:val="auto"/>
          <w:szCs w:val="21"/>
          <w:highlight w:val="none"/>
        </w:rPr>
        <w:t>供应商名称（盖单位公章）：</w:t>
      </w:r>
      <w:r>
        <w:rPr>
          <w:rFonts w:hint="eastAsia" w:hAnsi="宋体" w:cs="宋体"/>
          <w:color w:val="auto"/>
          <w:highlight w:val="none"/>
        </w:rPr>
        <w:t>________________</w:t>
      </w:r>
      <w:r>
        <w:rPr>
          <w:rFonts w:hint="eastAsia" w:hAnsi="宋体"/>
          <w:color w:val="auto"/>
          <w:szCs w:val="21"/>
          <w:highlight w:val="none"/>
          <w:u w:val="single"/>
        </w:rPr>
        <w:t xml:space="preserve">  </w:t>
      </w:r>
    </w:p>
    <w:p>
      <w:pPr>
        <w:adjustRightInd w:val="0"/>
        <w:snapToGrid w:val="0"/>
        <w:spacing w:before="156" w:beforeLines="50" w:line="360" w:lineRule="auto"/>
        <w:rPr>
          <w:rFonts w:ascii="仿宋_GB2312" w:hAnsi="宋体" w:eastAsia="仿宋_GB2312"/>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adjustRightInd w:val="0"/>
        <w:snapToGrid w:val="0"/>
        <w:spacing w:before="156" w:beforeLines="50" w:line="360" w:lineRule="auto"/>
        <w:rPr>
          <w:rFonts w:ascii="仿宋_GB2312" w:hAnsi="宋体" w:eastAsia="仿宋_GB2312"/>
          <w:color w:val="auto"/>
          <w:szCs w:val="21"/>
          <w:highlight w:val="none"/>
        </w:rPr>
      </w:pPr>
    </w:p>
    <w:p>
      <w:pPr>
        <w:adjustRightInd w:val="0"/>
        <w:snapToGrid w:val="0"/>
        <w:spacing w:line="360" w:lineRule="auto"/>
        <w:ind w:right="24"/>
        <w:rPr>
          <w:rFonts w:ascii="黑体" w:hAnsi="华文中宋" w:eastAsia="黑体"/>
          <w:bCs/>
          <w:color w:val="auto"/>
          <w:sz w:val="24"/>
          <w:highlight w:val="none"/>
        </w:rPr>
      </w:pPr>
    </w:p>
    <w:p>
      <w:pPr>
        <w:adjustRightInd w:val="0"/>
        <w:snapToGrid w:val="0"/>
        <w:spacing w:line="360" w:lineRule="auto"/>
        <w:ind w:right="24"/>
        <w:rPr>
          <w:rFonts w:ascii="黑体" w:hAnsi="华文中宋" w:eastAsia="黑体"/>
          <w:bCs/>
          <w:color w:val="auto"/>
          <w:sz w:val="24"/>
          <w:highlight w:val="none"/>
        </w:rPr>
      </w:pPr>
    </w:p>
    <w:p>
      <w:pPr>
        <w:adjustRightInd w:val="0"/>
        <w:snapToGrid w:val="0"/>
        <w:spacing w:line="360" w:lineRule="auto"/>
        <w:ind w:right="24"/>
        <w:rPr>
          <w:rFonts w:ascii="黑体" w:hAnsi="华文中宋" w:eastAsia="黑体"/>
          <w:bCs/>
          <w:color w:val="auto"/>
          <w:sz w:val="24"/>
          <w:highlight w:val="none"/>
        </w:rPr>
        <w:sectPr>
          <w:footerReference r:id="rId19" w:type="first"/>
          <w:footerReference r:id="rId18"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rPr>
          <w:rFonts w:ascii="宋体" w:hAnsi="宋体" w:cs="宋体"/>
          <w:bCs/>
          <w:color w:val="auto"/>
          <w:szCs w:val="21"/>
          <w:highlight w:val="none"/>
        </w:rPr>
      </w:pPr>
      <w:r>
        <w:rPr>
          <w:rFonts w:hint="eastAsia" w:ascii="宋体" w:hAnsi="宋体" w:cs="宋体"/>
          <w:bCs/>
          <w:color w:val="auto"/>
          <w:szCs w:val="21"/>
          <w:highlight w:val="none"/>
        </w:rPr>
        <w:t>附件2：</w:t>
      </w:r>
    </w:p>
    <w:p>
      <w:pPr>
        <w:adjustRightInd w:val="0"/>
        <w:snapToGrid w:val="0"/>
        <w:spacing w:line="360" w:lineRule="auto"/>
        <w:ind w:right="24"/>
        <w:jc w:val="center"/>
        <w:rPr>
          <w:rFonts w:ascii="黑体" w:hAnsi="华文中宋" w:eastAsia="黑体"/>
          <w:b/>
          <w:color w:val="auto"/>
          <w:sz w:val="28"/>
          <w:szCs w:val="28"/>
          <w:highlight w:val="none"/>
        </w:rPr>
      </w:pPr>
      <w:r>
        <w:rPr>
          <w:rFonts w:hint="eastAsia" w:ascii="黑体" w:hAnsi="宋体" w:eastAsia="黑体"/>
          <w:b/>
          <w:color w:val="auto"/>
          <w:sz w:val="28"/>
          <w:szCs w:val="28"/>
          <w:highlight w:val="none"/>
        </w:rPr>
        <w:t>法定代表人</w:t>
      </w:r>
      <w:r>
        <w:rPr>
          <w:rFonts w:hint="eastAsia" w:ascii="黑体" w:hAnsi="华文中宋" w:eastAsia="黑体"/>
          <w:b/>
          <w:color w:val="auto"/>
          <w:sz w:val="28"/>
          <w:szCs w:val="28"/>
          <w:highlight w:val="none"/>
        </w:rPr>
        <w:t>授权书</w:t>
      </w:r>
    </w:p>
    <w:p>
      <w:pPr>
        <w:adjustRightInd w:val="0"/>
        <w:snapToGrid w:val="0"/>
        <w:spacing w:line="360" w:lineRule="auto"/>
        <w:jc w:val="center"/>
        <w:rPr>
          <w:rFonts w:ascii="黑体" w:hAnsi="华文中宋" w:eastAsia="黑体"/>
          <w:b/>
          <w:color w:val="auto"/>
          <w:sz w:val="28"/>
          <w:szCs w:val="28"/>
          <w:highlight w:val="none"/>
        </w:rPr>
      </w:pPr>
    </w:p>
    <w:p>
      <w:pPr>
        <w:autoSpaceDE w:val="0"/>
        <w:autoSpaceDN w:val="0"/>
        <w:adjustRightInd w:val="0"/>
        <w:snapToGrid w:val="0"/>
        <w:spacing w:before="156" w:beforeLines="50" w:line="360" w:lineRule="auto"/>
        <w:ind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olor w:val="auto"/>
          <w:szCs w:val="21"/>
          <w:highlight w:val="none"/>
        </w:rPr>
        <w:t>项目</w:t>
      </w:r>
      <w:r>
        <w:rPr>
          <w:rFonts w:hint="eastAsia" w:ascii="宋体" w:hAnsi="宋体" w:cs="宋体"/>
          <w:color w:val="auto"/>
          <w:kern w:val="0"/>
          <w:szCs w:val="21"/>
          <w:highlight w:val="none"/>
        </w:rPr>
        <w:t>编号）响应文件；</w:t>
      </w:r>
      <w:r>
        <w:rPr>
          <w:rFonts w:ascii="宋体" w:hAnsi="宋体" w:cs="宋体"/>
          <w:color w:val="auto"/>
          <w:kern w:val="0"/>
          <w:szCs w:val="21"/>
          <w:highlight w:val="none"/>
        </w:rPr>
        <w:t>(2)</w:t>
      </w:r>
      <w:r>
        <w:rPr>
          <w:rFonts w:hint="eastAsia" w:ascii="宋体" w:hAnsi="宋体" w:cs="宋体"/>
          <w:color w:val="auto"/>
          <w:kern w:val="0"/>
          <w:szCs w:val="21"/>
          <w:highlight w:val="none"/>
        </w:rPr>
        <w:t>签署并重新提交响应文件及最后报价；</w:t>
      </w:r>
      <w:r>
        <w:rPr>
          <w:rFonts w:ascii="宋体" w:hAnsi="宋体" w:cs="宋体"/>
          <w:color w:val="auto"/>
          <w:kern w:val="0"/>
          <w:szCs w:val="21"/>
          <w:highlight w:val="none"/>
        </w:rPr>
        <w:t>(3)</w:t>
      </w:r>
      <w:r>
        <w:rPr>
          <w:rFonts w:hint="eastAsia" w:ascii="宋体" w:hAnsi="宋体" w:cs="宋体"/>
          <w:color w:val="auto"/>
          <w:kern w:val="0"/>
          <w:szCs w:val="21"/>
          <w:highlight w:val="none"/>
        </w:rPr>
        <w:t>退出谈判；</w:t>
      </w:r>
      <w:r>
        <w:rPr>
          <w:rFonts w:ascii="宋体" w:hAnsi="宋体" w:cs="宋体"/>
          <w:color w:val="auto"/>
          <w:kern w:val="0"/>
          <w:szCs w:val="21"/>
          <w:highlight w:val="none"/>
        </w:rPr>
        <w:t>(4)</w:t>
      </w:r>
      <w:r>
        <w:rPr>
          <w:rFonts w:hint="eastAsia" w:ascii="宋体" w:hAnsi="宋体" w:cs="宋体"/>
          <w:color w:val="auto"/>
          <w:kern w:val="0"/>
          <w:szCs w:val="21"/>
          <w:highlight w:val="none"/>
        </w:rPr>
        <w:t>签订合同和处理有关事宜，其法律后果由我方承担。</w:t>
      </w:r>
    </w:p>
    <w:p>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pPr>
        <w:spacing w:line="360" w:lineRule="auto"/>
        <w:ind w:firstLine="435"/>
        <w:rPr>
          <w:rFonts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pPr>
        <w:adjustRightInd w:val="0"/>
        <w:snapToGrid w:val="0"/>
        <w:spacing w:before="156" w:beforeLines="50" w:line="360" w:lineRule="auto"/>
        <w:ind w:firstLine="422" w:firstLineChars="200"/>
        <w:rPr>
          <w:rFonts w:ascii="宋体"/>
          <w:b/>
          <w:bCs/>
          <w:color w:val="auto"/>
          <w:szCs w:val="21"/>
          <w:highlight w:val="none"/>
        </w:rPr>
      </w:pPr>
      <w:r>
        <w:rPr>
          <w:rFonts w:hint="eastAsia" w:ascii="宋体" w:hAnsi="宋体"/>
          <w:b/>
          <w:bCs/>
          <w:color w:val="auto"/>
          <w:szCs w:val="21"/>
          <w:highlight w:val="none"/>
        </w:rPr>
        <w:t>附：委托代理人身份证复印件及法定代表人身份证明</w:t>
      </w:r>
      <w:r>
        <w:rPr>
          <w:rFonts w:ascii="宋体" w:hAnsi="宋体"/>
          <w:b/>
          <w:bCs/>
          <w:color w:val="auto"/>
          <w:szCs w:val="21"/>
          <w:highlight w:val="none"/>
        </w:rPr>
        <w:t>(</w:t>
      </w:r>
      <w:r>
        <w:rPr>
          <w:rFonts w:hint="eastAsia" w:ascii="宋体" w:hAnsi="宋体"/>
          <w:b/>
          <w:bCs/>
          <w:color w:val="auto"/>
          <w:szCs w:val="21"/>
          <w:highlight w:val="none"/>
        </w:rPr>
        <w:t>附件</w:t>
      </w:r>
      <w:r>
        <w:rPr>
          <w:rFonts w:ascii="宋体" w:hAnsi="宋体"/>
          <w:b/>
          <w:bCs/>
          <w:color w:val="auto"/>
          <w:szCs w:val="21"/>
          <w:highlight w:val="none"/>
        </w:rPr>
        <w:t>1</w:t>
      </w:r>
      <w:r>
        <w:rPr>
          <w:rFonts w:hint="eastAsia" w:ascii="宋体" w:hAnsi="宋体"/>
          <w:b/>
          <w:bCs/>
          <w:color w:val="auto"/>
          <w:szCs w:val="21"/>
          <w:highlight w:val="none"/>
        </w:rPr>
        <w:t>，原件</w:t>
      </w:r>
      <w:r>
        <w:rPr>
          <w:rFonts w:ascii="宋体" w:hAnsi="宋体"/>
          <w:b/>
          <w:bCs/>
          <w:color w:val="auto"/>
          <w:szCs w:val="21"/>
          <w:highlight w:val="none"/>
        </w:rPr>
        <w:t>)</w:t>
      </w:r>
    </w:p>
    <w:tbl>
      <w:tblPr>
        <w:tblStyle w:val="33"/>
        <w:tblW w:w="9628" w:type="dxa"/>
        <w:tblInd w:w="0" w:type="dxa"/>
        <w:tblBorders>
          <w:top w:val="dotDotDash" w:color="000000" w:sz="4" w:space="0"/>
          <w:left w:val="dotDotDash" w:color="000000" w:sz="4" w:space="0"/>
          <w:bottom w:val="dotDotDash" w:color="000000" w:sz="4" w:space="0"/>
          <w:right w:val="dotDotDash"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tblPrEx>
          <w:tblBorders>
            <w:top w:val="dotDotDash" w:color="000000" w:sz="4" w:space="0"/>
            <w:left w:val="dotDotDash" w:color="000000" w:sz="4" w:space="0"/>
            <w:bottom w:val="dotDotDash" w:color="000000" w:sz="4" w:space="0"/>
            <w:right w:val="dotDotDash" w:color="000000" w:sz="4" w:space="0"/>
            <w:insideH w:val="single" w:color="000000" w:sz="4" w:space="0"/>
            <w:insideV w:val="single" w:color="000000" w:sz="4" w:space="0"/>
          </w:tblBorders>
          <w:tblCellMar>
            <w:top w:w="0" w:type="dxa"/>
            <w:left w:w="108" w:type="dxa"/>
            <w:bottom w:w="0" w:type="dxa"/>
            <w:right w:w="108" w:type="dxa"/>
          </w:tblCellMar>
        </w:tblPrEx>
        <w:tc>
          <w:tcPr>
            <w:tcW w:w="9628" w:type="dxa"/>
            <w:tcBorders>
              <w:top w:val="dotDotDash" w:color="000000" w:sz="4" w:space="0"/>
              <w:bottom w:val="dotDotDash" w:color="000000" w:sz="4" w:space="0"/>
            </w:tcBorders>
          </w:tcPr>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jc w:val="center"/>
              <w:rPr>
                <w:rFonts w:hAnsi="宋体" w:cs="宋体"/>
                <w:b/>
                <w:bCs/>
                <w:color w:val="auto"/>
                <w:szCs w:val="21"/>
                <w:highlight w:val="none"/>
              </w:rPr>
            </w:pPr>
            <w:r>
              <w:rPr>
                <w:rFonts w:hint="eastAsia" w:hAnsi="宋体" w:cs="宋体"/>
                <w:b/>
                <w:bCs/>
                <w:color w:val="auto"/>
                <w:szCs w:val="21"/>
                <w:highlight w:val="none"/>
              </w:rPr>
              <w:t>附：授权代表身份证复印件</w:t>
            </w: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p>
            <w:pPr>
              <w:pStyle w:val="16"/>
              <w:rPr>
                <w:rFonts w:hAnsi="宋体" w:cs="宋体"/>
                <w:color w:val="auto"/>
                <w:szCs w:val="21"/>
                <w:highlight w:val="none"/>
              </w:rPr>
            </w:pPr>
          </w:p>
        </w:tc>
      </w:tr>
    </w:tbl>
    <w:p>
      <w:pPr>
        <w:adjustRightInd w:val="0"/>
        <w:snapToGrid w:val="0"/>
        <w:spacing w:line="360" w:lineRule="auto"/>
        <w:ind w:right="420"/>
        <w:rPr>
          <w:rFonts w:ascii="宋体"/>
          <w:color w:val="auto"/>
          <w:szCs w:val="21"/>
          <w:highlight w:val="none"/>
        </w:rPr>
      </w:pPr>
    </w:p>
    <w:p>
      <w:pPr>
        <w:adjustRightInd w:val="0"/>
        <w:snapToGrid w:val="0"/>
        <w:spacing w:line="360" w:lineRule="auto"/>
        <w:ind w:right="420"/>
        <w:rPr>
          <w:rFonts w:ascii="宋体"/>
          <w:color w:val="auto"/>
          <w:szCs w:val="21"/>
          <w:highlight w:val="none"/>
        </w:rPr>
      </w:pPr>
    </w:p>
    <w:p>
      <w:pPr>
        <w:pStyle w:val="16"/>
        <w:spacing w:line="360" w:lineRule="auto"/>
        <w:rPr>
          <w:rFonts w:hAnsi="宋体" w:cs="宋体"/>
          <w:color w:val="auto"/>
          <w:highlight w:val="none"/>
        </w:rPr>
      </w:pPr>
      <w:r>
        <w:rPr>
          <w:rFonts w:hint="eastAsia" w:hAnsi="宋体" w:cs="宋体"/>
          <w:color w:val="auto"/>
          <w:highlight w:val="none"/>
        </w:rPr>
        <w:t>供应商</w:t>
      </w:r>
      <w:r>
        <w:rPr>
          <w:rFonts w:hint="eastAsia" w:hAnsi="宋体"/>
          <w:color w:val="auto"/>
          <w:szCs w:val="21"/>
          <w:highlight w:val="none"/>
        </w:rPr>
        <w:t>名称</w:t>
      </w:r>
      <w:r>
        <w:rPr>
          <w:rFonts w:hint="eastAsia" w:hAnsi="宋体" w:cs="宋体"/>
          <w:color w:val="auto"/>
          <w:highlight w:val="none"/>
        </w:rPr>
        <w:t>(</w:t>
      </w:r>
      <w:r>
        <w:rPr>
          <w:rFonts w:hint="eastAsia" w:hAnsi="宋体"/>
          <w:color w:val="auto"/>
          <w:szCs w:val="21"/>
          <w:highlight w:val="none"/>
        </w:rPr>
        <w:t>盖单位公章</w:t>
      </w:r>
      <w:r>
        <w:rPr>
          <w:rFonts w:hint="eastAsia" w:hAnsi="宋体" w:cs="宋体"/>
          <w:color w:val="auto"/>
          <w:highlight w:val="none"/>
        </w:rPr>
        <w:t>)：________________</w:t>
      </w:r>
    </w:p>
    <w:p>
      <w:pPr>
        <w:adjustRightInd w:val="0"/>
        <w:snapToGrid w:val="0"/>
        <w:spacing w:before="156" w:beforeLines="50" w:line="360" w:lineRule="auto"/>
        <w:ind w:right="420"/>
        <w:rPr>
          <w:rFonts w:ascii="宋体" w:hAnsi="宋体"/>
          <w:color w:val="auto"/>
          <w:szCs w:val="21"/>
          <w:highlight w:val="none"/>
        </w:rPr>
      </w:pPr>
      <w:r>
        <w:rPr>
          <w:rFonts w:hint="eastAsia" w:ascii="宋体" w:hAnsi="宋体"/>
          <w:color w:val="auto"/>
          <w:szCs w:val="21"/>
          <w:highlight w:val="none"/>
        </w:rPr>
        <w:t>法定代表人（签字）：</w:t>
      </w:r>
      <w:r>
        <w:rPr>
          <w:rFonts w:hint="eastAsia" w:hAnsi="宋体" w:cs="宋体"/>
          <w:color w:val="auto"/>
          <w:highlight w:val="none"/>
        </w:rPr>
        <w:t>_______________</w:t>
      </w:r>
      <w:r>
        <w:rPr>
          <w:rFonts w:hint="eastAsia" w:ascii="宋体" w:hAnsi="宋体"/>
          <w:color w:val="auto"/>
          <w:szCs w:val="21"/>
          <w:highlight w:val="none"/>
          <w:u w:val="single"/>
        </w:rPr>
        <w:t xml:space="preserve">           </w:t>
      </w:r>
    </w:p>
    <w:p>
      <w:pPr>
        <w:adjustRightInd w:val="0"/>
        <w:snapToGrid w:val="0"/>
        <w:spacing w:before="156" w:beforeLines="50" w:line="360" w:lineRule="auto"/>
        <w:ind w:right="420"/>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olor w:val="auto"/>
          <w:szCs w:val="21"/>
          <w:highlight w:val="none"/>
          <w:u w:val="single"/>
        </w:rPr>
        <w:t xml:space="preserve"> </w:t>
      </w:r>
      <w:r>
        <w:rPr>
          <w:rFonts w:hint="eastAsia" w:hAnsi="宋体" w:cs="宋体"/>
          <w:color w:val="auto"/>
          <w:highlight w:val="none"/>
        </w:rPr>
        <w:t>_______________</w:t>
      </w:r>
      <w:r>
        <w:rPr>
          <w:rFonts w:hint="eastAsia" w:ascii="宋体" w:hAnsi="宋体"/>
          <w:color w:val="auto"/>
          <w:szCs w:val="21"/>
          <w:highlight w:val="none"/>
          <w:u w:val="single"/>
        </w:rPr>
        <w:t xml:space="preserve">                    </w:t>
      </w:r>
    </w:p>
    <w:p>
      <w:pPr>
        <w:adjustRightInd w:val="0"/>
        <w:snapToGrid w:val="0"/>
        <w:spacing w:before="156" w:beforeLines="50" w:line="360" w:lineRule="auto"/>
        <w:ind w:right="24"/>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exact"/>
        <w:rPr>
          <w:rFonts w:ascii="宋体"/>
          <w:b/>
          <w:color w:val="auto"/>
          <w:highlight w:val="none"/>
        </w:rPr>
      </w:pPr>
    </w:p>
    <w:p>
      <w:pPr>
        <w:spacing w:line="360" w:lineRule="exact"/>
        <w:rPr>
          <w:rFonts w:ascii="宋体"/>
          <w:b/>
          <w:color w:val="auto"/>
          <w:highlight w:val="none"/>
        </w:rPr>
      </w:pPr>
    </w:p>
    <w:p>
      <w:pPr>
        <w:spacing w:line="360" w:lineRule="exact"/>
        <w:rPr>
          <w:rFonts w:ascii="宋体"/>
          <w:b/>
          <w:color w:val="auto"/>
          <w:highlight w:val="none"/>
        </w:rPr>
      </w:pPr>
    </w:p>
    <w:p>
      <w:pPr>
        <w:spacing w:line="360" w:lineRule="exact"/>
        <w:rPr>
          <w:rFonts w:ascii="宋体"/>
          <w:b/>
          <w:color w:val="auto"/>
          <w:highlight w:val="none"/>
        </w:rPr>
      </w:pPr>
    </w:p>
    <w:p>
      <w:pPr>
        <w:spacing w:line="360" w:lineRule="exact"/>
        <w:rPr>
          <w:rFonts w:ascii="宋体"/>
          <w:b/>
          <w:color w:val="auto"/>
          <w:highlight w:val="none"/>
        </w:rPr>
      </w:pPr>
    </w:p>
    <w:p>
      <w:pPr>
        <w:pStyle w:val="16"/>
        <w:outlineLvl w:val="2"/>
        <w:rPr>
          <w:rFonts w:ascii="黑体" w:hAnsi="华文中宋" w:eastAsia="黑体"/>
          <w:bCs/>
          <w:color w:val="auto"/>
          <w:sz w:val="24"/>
          <w:szCs w:val="24"/>
          <w:highlight w:val="none"/>
        </w:rPr>
      </w:pPr>
    </w:p>
    <w:p>
      <w:pPr>
        <w:pStyle w:val="16"/>
        <w:rPr>
          <w:rFonts w:ascii="黑体" w:hAnsi="华文中宋" w:eastAsia="黑体"/>
          <w:bCs/>
          <w:color w:val="auto"/>
          <w:sz w:val="24"/>
          <w:szCs w:val="24"/>
          <w:highlight w:val="none"/>
        </w:rPr>
        <w:sectPr>
          <w:footerReference r:id="rId21" w:type="first"/>
          <w:footerReference r:id="rId20"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outlineLvl w:val="1"/>
        <w:rPr>
          <w:rFonts w:ascii="宋体" w:hAnsi="宋体" w:cs="宋体"/>
          <w:bCs/>
          <w:color w:val="auto"/>
          <w:szCs w:val="21"/>
          <w:highlight w:val="none"/>
        </w:rPr>
      </w:pPr>
      <w:bookmarkStart w:id="84" w:name="_Toc1234"/>
      <w:bookmarkStart w:id="85" w:name="_Toc8061014"/>
      <w:r>
        <w:rPr>
          <w:rFonts w:hint="eastAsia" w:ascii="宋体" w:hAnsi="宋体" w:cs="宋体"/>
          <w:bCs/>
          <w:color w:val="auto"/>
          <w:szCs w:val="21"/>
          <w:highlight w:val="none"/>
        </w:rPr>
        <w:t>格式2、报价一览表</w:t>
      </w:r>
      <w:bookmarkEnd w:id="84"/>
      <w:bookmarkEnd w:id="85"/>
    </w:p>
    <w:p>
      <w:pPr>
        <w:jc w:val="center"/>
        <w:rPr>
          <w:rFonts w:ascii="宋体" w:cs="宋体"/>
          <w:b/>
          <w:color w:val="auto"/>
          <w:sz w:val="24"/>
          <w:szCs w:val="28"/>
          <w:highlight w:val="none"/>
        </w:rPr>
      </w:pPr>
    </w:p>
    <w:p>
      <w:pPr>
        <w:jc w:val="center"/>
        <w:rPr>
          <w:rFonts w:ascii="宋体" w:cs="宋体"/>
          <w:b/>
          <w:color w:val="auto"/>
          <w:sz w:val="24"/>
          <w:szCs w:val="28"/>
          <w:highlight w:val="none"/>
        </w:rPr>
      </w:pPr>
      <w:r>
        <w:rPr>
          <w:rFonts w:hint="eastAsia" w:ascii="宋体" w:hAnsi="宋体" w:cs="宋体"/>
          <w:b/>
          <w:color w:val="auto"/>
          <w:sz w:val="24"/>
          <w:szCs w:val="28"/>
          <w:highlight w:val="none"/>
        </w:rPr>
        <w:t>报价一览表</w:t>
      </w:r>
    </w:p>
    <w:tbl>
      <w:tblPr>
        <w:tblStyle w:val="33"/>
        <w:tblW w:w="962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26"/>
        <w:gridCol w:w="2145"/>
        <w:gridCol w:w="2861"/>
        <w:gridCol w:w="1730"/>
        <w:gridCol w:w="196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705" w:hRule="atLeast"/>
          <w:jc w:val="center"/>
        </w:trPr>
        <w:tc>
          <w:tcPr>
            <w:tcW w:w="3071" w:type="dxa"/>
            <w:gridSpan w:val="2"/>
            <w:tcBorders>
              <w:tl2br w:val="nil"/>
              <w:tr2bl w:val="nil"/>
            </w:tcBorders>
            <w:vAlign w:val="center"/>
          </w:tcPr>
          <w:p>
            <w:pPr>
              <w:ind w:right="23" w:rightChars="11"/>
              <w:jc w:val="center"/>
              <w:rPr>
                <w:rFonts w:ascii="宋体" w:hAnsi="宋体"/>
                <w:color w:val="auto"/>
                <w:szCs w:val="21"/>
                <w:highlight w:val="none"/>
              </w:rPr>
            </w:pPr>
            <w:r>
              <w:rPr>
                <w:rFonts w:ascii="宋体" w:hAnsi="宋体"/>
                <w:color w:val="auto"/>
                <w:szCs w:val="21"/>
                <w:highlight w:val="none"/>
              </w:rPr>
              <w:t>项目</w:t>
            </w:r>
            <w:r>
              <w:rPr>
                <w:rFonts w:hint="eastAsia" w:ascii="宋体" w:hAnsi="宋体"/>
                <w:color w:val="auto"/>
                <w:szCs w:val="21"/>
                <w:highlight w:val="none"/>
              </w:rPr>
              <w:t>名称</w:t>
            </w:r>
          </w:p>
        </w:tc>
        <w:tc>
          <w:tcPr>
            <w:tcW w:w="2861" w:type="dxa"/>
            <w:tcBorders>
              <w:tl2br w:val="nil"/>
              <w:tr2bl w:val="nil"/>
            </w:tcBorders>
            <w:vAlign w:val="center"/>
          </w:tcPr>
          <w:p>
            <w:pPr>
              <w:ind w:right="23" w:rightChars="11"/>
              <w:jc w:val="center"/>
              <w:rPr>
                <w:rFonts w:ascii="宋体" w:hAnsi="宋体"/>
                <w:color w:val="auto"/>
                <w:szCs w:val="21"/>
                <w:highlight w:val="none"/>
              </w:rPr>
            </w:pPr>
          </w:p>
        </w:tc>
        <w:tc>
          <w:tcPr>
            <w:tcW w:w="1730" w:type="dxa"/>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编号</w:t>
            </w:r>
          </w:p>
        </w:tc>
        <w:tc>
          <w:tcPr>
            <w:tcW w:w="1966" w:type="dxa"/>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49" w:hRule="atLeast"/>
          <w:jc w:val="center"/>
        </w:trPr>
        <w:tc>
          <w:tcPr>
            <w:tcW w:w="3071" w:type="dxa"/>
            <w:gridSpan w:val="2"/>
            <w:tcBorders>
              <w:tl2br w:val="nil"/>
              <w:tr2bl w:val="nil"/>
            </w:tcBorders>
            <w:vAlign w:val="center"/>
          </w:tcPr>
          <w:p>
            <w:pPr>
              <w:spacing w:line="360" w:lineRule="auto"/>
              <w:ind w:right="21" w:rightChars="10"/>
              <w:jc w:val="center"/>
              <w:rPr>
                <w:rFonts w:ascii="宋体" w:hAnsi="宋体"/>
                <w:color w:val="auto"/>
                <w:szCs w:val="21"/>
                <w:highlight w:val="none"/>
              </w:rPr>
            </w:pPr>
            <w:r>
              <w:rPr>
                <w:rFonts w:hint="eastAsia" w:ascii="宋体" w:hAnsi="宋体"/>
                <w:color w:val="auto"/>
                <w:szCs w:val="21"/>
                <w:highlight w:val="none"/>
              </w:rPr>
              <w:t>总报价</w:t>
            </w:r>
          </w:p>
        </w:tc>
        <w:tc>
          <w:tcPr>
            <w:tcW w:w="6557" w:type="dxa"/>
            <w:gridSpan w:val="3"/>
            <w:tcBorders>
              <w:tl2br w:val="nil"/>
              <w:tr2bl w:val="nil"/>
            </w:tcBorders>
            <w:vAlign w:val="center"/>
          </w:tcPr>
          <w:p>
            <w:pPr>
              <w:spacing w:before="156" w:beforeLines="50" w:line="360" w:lineRule="auto"/>
              <w:ind w:right="21" w:rightChars="10"/>
              <w:rPr>
                <w:rFonts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p>
            <w:pPr>
              <w:spacing w:before="156" w:beforeLines="50" w:line="360" w:lineRule="auto"/>
              <w:ind w:right="21" w:rightChars="10"/>
              <w:rPr>
                <w:rFonts w:ascii="宋体" w:hAnsi="宋体"/>
                <w:color w:val="auto"/>
                <w:szCs w:val="21"/>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49" w:hRule="atLeast"/>
          <w:jc w:val="center"/>
        </w:trPr>
        <w:tc>
          <w:tcPr>
            <w:tcW w:w="3071" w:type="dxa"/>
            <w:gridSpan w:val="2"/>
            <w:tcBorders>
              <w:tl2br w:val="nil"/>
              <w:tr2bl w:val="nil"/>
            </w:tcBorders>
            <w:vAlign w:val="center"/>
          </w:tcPr>
          <w:p>
            <w:pPr>
              <w:spacing w:line="360" w:lineRule="auto"/>
              <w:ind w:right="21" w:rightChars="10"/>
              <w:jc w:val="center"/>
              <w:rPr>
                <w:rFonts w:ascii="宋体" w:hAnsi="宋体"/>
                <w:color w:val="auto"/>
                <w:szCs w:val="21"/>
                <w:highlight w:val="none"/>
              </w:rPr>
            </w:pPr>
            <w:r>
              <w:rPr>
                <w:rFonts w:hint="eastAsia" w:ascii="宋体" w:hAnsi="宋体"/>
                <w:color w:val="auto"/>
                <w:szCs w:val="21"/>
                <w:highlight w:val="none"/>
              </w:rPr>
              <w:t>单  价</w:t>
            </w:r>
          </w:p>
        </w:tc>
        <w:tc>
          <w:tcPr>
            <w:tcW w:w="6557" w:type="dxa"/>
            <w:gridSpan w:val="3"/>
            <w:tcBorders>
              <w:tl2br w:val="nil"/>
              <w:tr2bl w:val="nil"/>
            </w:tcBorders>
            <w:vAlign w:val="center"/>
          </w:tcPr>
          <w:p>
            <w:pPr>
              <w:spacing w:before="156" w:beforeLines="50" w:line="360" w:lineRule="auto"/>
              <w:ind w:right="21" w:rightChars="10"/>
              <w:rPr>
                <w:rFonts w:ascii="宋体" w:hAnsi="宋体"/>
                <w:color w:val="auto"/>
                <w:szCs w:val="21"/>
                <w:highlight w:val="none"/>
              </w:rPr>
            </w:pPr>
            <w:r>
              <w:rPr>
                <w:rFonts w:hint="eastAsia" w:ascii="宋体" w:hAnsi="宋体"/>
                <w:color w:val="auto"/>
                <w:szCs w:val="21"/>
                <w:highlight w:val="none"/>
              </w:rPr>
              <w:t>大写：每平方米</w:t>
            </w:r>
            <w:r>
              <w:rPr>
                <w:rFonts w:hint="eastAsia" w:ascii="宋体" w:hAnsi="宋体"/>
                <w:color w:val="auto"/>
                <w:szCs w:val="21"/>
                <w:highlight w:val="none"/>
                <w:u w:val="single"/>
              </w:rPr>
              <w:t xml:space="preserve">                                </w:t>
            </w:r>
            <w:r>
              <w:rPr>
                <w:rFonts w:hint="eastAsia" w:ascii="宋体" w:hAnsi="宋体"/>
                <w:color w:val="auto"/>
                <w:szCs w:val="21"/>
                <w:highlight w:val="none"/>
              </w:rPr>
              <w:t>（人民币）</w:t>
            </w:r>
          </w:p>
          <w:p>
            <w:pPr>
              <w:spacing w:before="156" w:beforeLines="50" w:line="360" w:lineRule="auto"/>
              <w:ind w:right="21" w:rightChars="10"/>
              <w:rPr>
                <w:rFonts w:ascii="宋体" w:hAnsi="宋体"/>
                <w:color w:val="auto"/>
                <w:szCs w:val="21"/>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元/平方米（人民币）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3071" w:type="dxa"/>
            <w:gridSpan w:val="2"/>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工期（日历天）</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3071" w:type="dxa"/>
            <w:gridSpan w:val="2"/>
            <w:tcBorders>
              <w:tl2br w:val="nil"/>
              <w:tr2bl w:val="nil"/>
            </w:tcBorders>
            <w:vAlign w:val="center"/>
          </w:tcPr>
          <w:p>
            <w:pPr>
              <w:ind w:right="23" w:rightChars="11"/>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油漆品牌</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3071" w:type="dxa"/>
            <w:gridSpan w:val="2"/>
            <w:tcBorders>
              <w:tl2br w:val="nil"/>
              <w:tr2bl w:val="nil"/>
            </w:tcBorders>
            <w:vAlign w:val="center"/>
          </w:tcPr>
          <w:p>
            <w:pPr>
              <w:ind w:right="23" w:rightChars="11"/>
              <w:jc w:val="center"/>
              <w:rPr>
                <w:rFonts w:hint="default" w:ascii="宋体" w:hAnsi="宋体"/>
                <w:color w:val="auto"/>
                <w:szCs w:val="21"/>
                <w:highlight w:val="none"/>
                <w:lang w:val="en-US"/>
              </w:rPr>
            </w:pPr>
            <w:r>
              <w:rPr>
                <w:rFonts w:hint="eastAsia" w:ascii="宋体" w:hAnsi="宋体"/>
                <w:color w:val="auto"/>
                <w:szCs w:val="21"/>
                <w:highlight w:val="none"/>
              </w:rPr>
              <w:t>质量承诺</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3071" w:type="dxa"/>
            <w:gridSpan w:val="2"/>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保修承诺</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58" w:hRule="atLeast"/>
          <w:jc w:val="center"/>
        </w:trPr>
        <w:tc>
          <w:tcPr>
            <w:tcW w:w="926" w:type="dxa"/>
            <w:vMerge w:val="restart"/>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项目负责人</w:t>
            </w:r>
          </w:p>
        </w:tc>
        <w:tc>
          <w:tcPr>
            <w:tcW w:w="2145" w:type="dxa"/>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姓   名</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390" w:hRule="atLeast"/>
          <w:jc w:val="center"/>
        </w:trPr>
        <w:tc>
          <w:tcPr>
            <w:tcW w:w="926" w:type="dxa"/>
            <w:vMerge w:val="continue"/>
            <w:tcBorders>
              <w:tl2br w:val="nil"/>
              <w:tr2bl w:val="nil"/>
            </w:tcBorders>
            <w:vAlign w:val="center"/>
          </w:tcPr>
          <w:p>
            <w:pPr>
              <w:ind w:right="23" w:rightChars="11"/>
              <w:jc w:val="center"/>
              <w:rPr>
                <w:rFonts w:ascii="宋体" w:hAnsi="宋体"/>
                <w:color w:val="auto"/>
                <w:szCs w:val="21"/>
                <w:highlight w:val="none"/>
              </w:rPr>
            </w:pPr>
          </w:p>
        </w:tc>
        <w:tc>
          <w:tcPr>
            <w:tcW w:w="2145" w:type="dxa"/>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注册建造师证书号</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430" w:hRule="atLeast"/>
          <w:jc w:val="center"/>
        </w:trPr>
        <w:tc>
          <w:tcPr>
            <w:tcW w:w="926" w:type="dxa"/>
            <w:vMerge w:val="continue"/>
            <w:tcBorders>
              <w:tl2br w:val="nil"/>
              <w:tr2bl w:val="nil"/>
            </w:tcBorders>
            <w:vAlign w:val="center"/>
          </w:tcPr>
          <w:p>
            <w:pPr>
              <w:ind w:right="23" w:rightChars="11"/>
              <w:jc w:val="center"/>
              <w:rPr>
                <w:rFonts w:ascii="宋体" w:hAnsi="宋体"/>
                <w:color w:val="auto"/>
                <w:szCs w:val="21"/>
                <w:highlight w:val="none"/>
              </w:rPr>
            </w:pPr>
          </w:p>
        </w:tc>
        <w:tc>
          <w:tcPr>
            <w:tcW w:w="2145" w:type="dxa"/>
            <w:tcBorders>
              <w:tl2br w:val="nil"/>
              <w:tr2bl w:val="nil"/>
            </w:tcBorders>
            <w:vAlign w:val="center"/>
          </w:tcPr>
          <w:p>
            <w:pPr>
              <w:ind w:right="23" w:rightChars="11"/>
              <w:jc w:val="center"/>
              <w:rPr>
                <w:rFonts w:ascii="宋体" w:hAnsi="宋体"/>
                <w:color w:val="auto"/>
                <w:szCs w:val="21"/>
                <w:highlight w:val="none"/>
              </w:rPr>
            </w:pPr>
            <w:r>
              <w:rPr>
                <w:rFonts w:hint="eastAsia" w:ascii="宋体" w:hAnsi="宋体"/>
                <w:color w:val="auto"/>
                <w:szCs w:val="21"/>
                <w:highlight w:val="none"/>
              </w:rPr>
              <w:t>等   级</w:t>
            </w:r>
          </w:p>
        </w:tc>
        <w:tc>
          <w:tcPr>
            <w:tcW w:w="6557" w:type="dxa"/>
            <w:gridSpan w:val="3"/>
            <w:tcBorders>
              <w:tl2br w:val="nil"/>
              <w:tr2bl w:val="nil"/>
            </w:tcBorders>
            <w:vAlign w:val="center"/>
          </w:tcPr>
          <w:p>
            <w:pPr>
              <w:ind w:right="23" w:rightChars="11"/>
              <w:jc w:val="center"/>
              <w:rPr>
                <w:rFonts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3071" w:type="dxa"/>
            <w:gridSpan w:val="2"/>
            <w:tcBorders>
              <w:tl2br w:val="nil"/>
              <w:tr2bl w:val="nil"/>
            </w:tcBorders>
            <w:vAlign w:val="center"/>
          </w:tcPr>
          <w:p>
            <w:pPr>
              <w:ind w:right="23" w:rightChars="11"/>
              <w:jc w:val="center"/>
              <w:rPr>
                <w:rFonts w:ascii="宋体" w:hAnsi="宋体"/>
                <w:color w:val="auto"/>
                <w:szCs w:val="21"/>
                <w:highlight w:val="none"/>
              </w:rPr>
            </w:pPr>
            <w:r>
              <w:rPr>
                <w:rFonts w:ascii="宋体" w:hAnsi="宋体"/>
                <w:color w:val="auto"/>
                <w:szCs w:val="21"/>
                <w:highlight w:val="none"/>
              </w:rPr>
              <w:t>备  注</w:t>
            </w:r>
          </w:p>
        </w:tc>
        <w:tc>
          <w:tcPr>
            <w:tcW w:w="6557" w:type="dxa"/>
            <w:gridSpan w:val="3"/>
            <w:tcBorders>
              <w:tl2br w:val="nil"/>
              <w:tr2bl w:val="nil"/>
            </w:tcBorders>
            <w:vAlign w:val="center"/>
          </w:tcPr>
          <w:p>
            <w:pPr>
              <w:ind w:right="23" w:rightChars="11"/>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本表后请附综合单价分析表</w:t>
            </w:r>
          </w:p>
        </w:tc>
      </w:tr>
    </w:tbl>
    <w:p>
      <w:pPr>
        <w:pStyle w:val="16"/>
        <w:ind w:firstLine="420" w:firstLineChars="200"/>
        <w:rPr>
          <w:rFonts w:hAnsi="宋体" w:cs="宋体"/>
          <w:color w:val="auto"/>
          <w:highlight w:val="none"/>
        </w:rPr>
      </w:pPr>
    </w:p>
    <w:p>
      <w:pPr>
        <w:pStyle w:val="16"/>
        <w:spacing w:line="360" w:lineRule="auto"/>
        <w:ind w:firstLine="420" w:firstLineChars="200"/>
        <w:rPr>
          <w:rFonts w:hAnsi="宋体" w:cs="宋体"/>
          <w:color w:val="auto"/>
          <w:highlight w:val="none"/>
        </w:rPr>
      </w:pPr>
      <w:r>
        <w:rPr>
          <w:rFonts w:hint="eastAsia" w:hAnsi="宋体" w:cs="宋体"/>
          <w:color w:val="auto"/>
          <w:highlight w:val="none"/>
        </w:rPr>
        <w:t>供应商</w:t>
      </w:r>
      <w:r>
        <w:rPr>
          <w:rFonts w:hint="eastAsia" w:hAnsi="宋体"/>
          <w:color w:val="auto"/>
          <w:szCs w:val="21"/>
          <w:highlight w:val="none"/>
        </w:rPr>
        <w:t>名称</w:t>
      </w:r>
      <w:r>
        <w:rPr>
          <w:rFonts w:hAnsi="宋体" w:cs="宋体"/>
          <w:color w:val="auto"/>
          <w:highlight w:val="none"/>
        </w:rPr>
        <w:t>(</w:t>
      </w:r>
      <w:r>
        <w:rPr>
          <w:rFonts w:hint="eastAsia" w:hAnsi="宋体" w:cs="宋体"/>
          <w:color w:val="auto"/>
          <w:highlight w:val="none"/>
        </w:rPr>
        <w:t>盖单位公章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法定代表人或其授权代表</w:t>
      </w:r>
      <w:r>
        <w:rPr>
          <w:rFonts w:hAnsi="宋体" w:cs="宋体"/>
          <w:color w:val="auto"/>
          <w:highlight w:val="none"/>
        </w:rPr>
        <w:t>(</w:t>
      </w:r>
      <w:r>
        <w:rPr>
          <w:rFonts w:hint="eastAsia" w:hAnsi="宋体" w:cs="宋体"/>
          <w:color w:val="auto"/>
          <w:highlight w:val="none"/>
        </w:rPr>
        <w:t>签字或盖章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日期：</w:t>
      </w:r>
      <w:r>
        <w:rPr>
          <w:rFonts w:hAnsi="宋体" w:cs="宋体"/>
          <w:color w:val="auto"/>
          <w:highlight w:val="none"/>
        </w:rPr>
        <w:t>______</w:t>
      </w:r>
      <w:r>
        <w:rPr>
          <w:rFonts w:hint="eastAsia" w:hAnsi="宋体" w:cs="宋体"/>
          <w:color w:val="auto"/>
          <w:highlight w:val="none"/>
        </w:rPr>
        <w:t>年</w:t>
      </w:r>
      <w:r>
        <w:rPr>
          <w:rFonts w:hAnsi="宋体" w:cs="宋体"/>
          <w:color w:val="auto"/>
          <w:highlight w:val="none"/>
        </w:rPr>
        <w:t>____</w:t>
      </w:r>
      <w:r>
        <w:rPr>
          <w:rFonts w:hint="eastAsia" w:hAnsi="宋体" w:cs="宋体"/>
          <w:color w:val="auto"/>
          <w:highlight w:val="none"/>
        </w:rPr>
        <w:t>月</w:t>
      </w:r>
      <w:r>
        <w:rPr>
          <w:rFonts w:hAnsi="宋体" w:cs="宋体"/>
          <w:color w:val="auto"/>
          <w:highlight w:val="none"/>
        </w:rPr>
        <w:t>____</w:t>
      </w:r>
      <w:r>
        <w:rPr>
          <w:rFonts w:hint="eastAsia" w:hAnsi="宋体" w:cs="宋体"/>
          <w:color w:val="auto"/>
          <w:highlight w:val="none"/>
        </w:rPr>
        <w:t>日</w:t>
      </w:r>
    </w:p>
    <w:p>
      <w:pPr>
        <w:adjustRightInd w:val="0"/>
        <w:snapToGrid w:val="0"/>
        <w:spacing w:line="360" w:lineRule="auto"/>
        <w:rPr>
          <w:rFonts w:ascii="仿宋_GB2312" w:hAnsi="宋体" w:eastAsia="仿宋_GB2312"/>
          <w:bCs/>
          <w:color w:val="auto"/>
          <w:szCs w:val="21"/>
          <w:highlight w:val="none"/>
        </w:rPr>
      </w:pPr>
    </w:p>
    <w:p>
      <w:pPr>
        <w:adjustRightInd w:val="0"/>
        <w:snapToGrid w:val="0"/>
        <w:spacing w:line="360" w:lineRule="auto"/>
        <w:rPr>
          <w:rFonts w:ascii="仿宋_GB2312" w:hAnsi="宋体" w:eastAsia="仿宋_GB2312"/>
          <w:bCs/>
          <w:color w:val="auto"/>
          <w:szCs w:val="21"/>
          <w:highlight w:val="none"/>
        </w:rPr>
      </w:pPr>
    </w:p>
    <w:p>
      <w:pPr>
        <w:adjustRightInd w:val="0"/>
        <w:snapToGrid w:val="0"/>
        <w:spacing w:line="360" w:lineRule="auto"/>
        <w:rPr>
          <w:rFonts w:ascii="仿宋_GB2312" w:hAnsi="宋体" w:eastAsia="仿宋_GB2312"/>
          <w:bCs/>
          <w:color w:val="auto"/>
          <w:szCs w:val="21"/>
          <w:highlight w:val="none"/>
        </w:rPr>
      </w:pPr>
    </w:p>
    <w:p>
      <w:pPr>
        <w:jc w:val="center"/>
        <w:rPr>
          <w:rFonts w:ascii="宋体" w:hAnsi="宋体" w:cs="宋体"/>
          <w:b/>
          <w:color w:val="auto"/>
          <w:sz w:val="24"/>
          <w:szCs w:val="28"/>
          <w:highlight w:val="none"/>
        </w:rPr>
        <w:sectPr>
          <w:footerReference r:id="rId22" w:type="default"/>
          <w:pgSz w:w="11906" w:h="16838"/>
          <w:pgMar w:top="1134" w:right="1134" w:bottom="1134" w:left="1134" w:header="851" w:footer="850" w:gutter="0"/>
          <w:cols w:space="0" w:num="1"/>
          <w:titlePg/>
          <w:docGrid w:type="lines" w:linePitch="312" w:charSpace="0"/>
        </w:sectPr>
      </w:pPr>
    </w:p>
    <w:p>
      <w:pPr>
        <w:pStyle w:val="16"/>
        <w:adjustRightInd w:val="0"/>
        <w:snapToGrid w:val="0"/>
        <w:spacing w:line="360" w:lineRule="auto"/>
        <w:jc w:val="left"/>
        <w:outlineLvl w:val="1"/>
        <w:rPr>
          <w:rFonts w:ascii="黑体" w:eastAsia="黑体"/>
          <w:b/>
          <w:color w:val="auto"/>
          <w:sz w:val="32"/>
          <w:szCs w:val="32"/>
          <w:highlight w:val="none"/>
        </w:rPr>
      </w:pPr>
      <w:bookmarkStart w:id="86" w:name="_Toc12915"/>
      <w:bookmarkStart w:id="87" w:name="_Toc8061015"/>
      <w:r>
        <w:rPr>
          <w:rFonts w:hint="eastAsia" w:hAnsi="宋体" w:cs="宋体"/>
          <w:bCs/>
          <w:color w:val="auto"/>
          <w:szCs w:val="21"/>
          <w:highlight w:val="none"/>
        </w:rPr>
        <w:t>格式3、保证金缴纳证明材料</w:t>
      </w:r>
      <w:bookmarkEnd w:id="86"/>
    </w:p>
    <w:p>
      <w:pPr>
        <w:pStyle w:val="16"/>
        <w:adjustRightInd w:val="0"/>
        <w:snapToGrid w:val="0"/>
        <w:spacing w:before="163" w:beforeLines="50" w:line="360" w:lineRule="auto"/>
        <w:jc w:val="center"/>
        <w:rPr>
          <w:rFonts w:hAnsi="宋体"/>
          <w:color w:val="auto"/>
          <w:highlight w:val="none"/>
        </w:rPr>
      </w:pPr>
      <w:r>
        <w:rPr>
          <w:rFonts w:hint="eastAsia" w:hAnsi="宋体" w:cs="宋体"/>
          <w:b/>
          <w:color w:val="auto"/>
          <w:szCs w:val="21"/>
          <w:highlight w:val="none"/>
        </w:rPr>
        <w:t>保证金缴纳证明材料</w:t>
      </w:r>
    </w:p>
    <w:p>
      <w:pPr>
        <w:rPr>
          <w:color w:val="auto"/>
          <w:highlight w:val="none"/>
        </w:rPr>
      </w:pPr>
      <w:r>
        <w:rPr>
          <w:rFonts w:hint="eastAsia"/>
          <w:color w:val="auto"/>
          <w:highlight w:val="none"/>
        </w:rPr>
        <w:t>1、提供付款凭证复印件。</w:t>
      </w:r>
    </w:p>
    <w:p>
      <w:pPr>
        <w:adjustRightInd w:val="0"/>
        <w:snapToGrid w:val="0"/>
        <w:spacing w:line="360" w:lineRule="auto"/>
        <w:ind w:right="24"/>
        <w:rPr>
          <w:color w:val="auto"/>
          <w:highlight w:val="none"/>
        </w:rPr>
      </w:pPr>
      <w:r>
        <w:rPr>
          <w:rFonts w:hint="eastAsia"/>
          <w:color w:val="auto"/>
          <w:highlight w:val="none"/>
        </w:rPr>
        <w:t>2、根据供应商以转账或电汇方式退还至供应商的原缴纳账户。</w:t>
      </w: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rPr>
          <w:color w:val="auto"/>
          <w:highlight w:val="none"/>
        </w:rPr>
      </w:pPr>
    </w:p>
    <w:p>
      <w:pPr>
        <w:adjustRightInd w:val="0"/>
        <w:snapToGrid w:val="0"/>
        <w:spacing w:line="360" w:lineRule="auto"/>
        <w:ind w:right="24"/>
        <w:outlineLvl w:val="1"/>
        <w:rPr>
          <w:rFonts w:ascii="宋体" w:hAnsi="宋体" w:cs="宋体"/>
          <w:bCs/>
          <w:color w:val="auto"/>
          <w:szCs w:val="21"/>
          <w:highlight w:val="none"/>
        </w:rPr>
      </w:pPr>
      <w:bookmarkStart w:id="88" w:name="_Toc25106"/>
      <w:r>
        <w:rPr>
          <w:rFonts w:hint="eastAsia" w:ascii="宋体" w:hAnsi="宋体" w:cs="宋体"/>
          <w:bCs/>
          <w:color w:val="auto"/>
          <w:szCs w:val="21"/>
          <w:highlight w:val="none"/>
        </w:rPr>
        <w:t>格式4、供应商基本情况</w:t>
      </w:r>
      <w:bookmarkEnd w:id="87"/>
      <w:bookmarkEnd w:id="88"/>
    </w:p>
    <w:p>
      <w:pPr>
        <w:pStyle w:val="16"/>
        <w:ind w:firstLine="482" w:firstLineChars="200"/>
        <w:jc w:val="center"/>
        <w:rPr>
          <w:rFonts w:hAnsi="宋体" w:cs="宋体"/>
          <w:b/>
          <w:bCs/>
          <w:color w:val="auto"/>
          <w:sz w:val="24"/>
          <w:szCs w:val="24"/>
          <w:highlight w:val="none"/>
        </w:rPr>
      </w:pPr>
    </w:p>
    <w:p>
      <w:pPr>
        <w:adjustRightInd w:val="0"/>
        <w:snapToGrid w:val="0"/>
        <w:spacing w:line="360" w:lineRule="auto"/>
        <w:ind w:right="24"/>
        <w:jc w:val="center"/>
        <w:rPr>
          <w:rFonts w:ascii="黑体" w:hAnsi="宋体" w:eastAsia="黑体"/>
          <w:b/>
          <w:color w:val="auto"/>
          <w:sz w:val="28"/>
          <w:szCs w:val="28"/>
          <w:highlight w:val="none"/>
        </w:rPr>
      </w:pPr>
      <w:r>
        <w:rPr>
          <w:rFonts w:hint="eastAsia" w:ascii="黑体" w:hAnsi="宋体" w:eastAsia="黑体"/>
          <w:b/>
          <w:color w:val="auto"/>
          <w:sz w:val="28"/>
          <w:szCs w:val="28"/>
          <w:highlight w:val="none"/>
        </w:rPr>
        <w:t>供应商基本情况表</w:t>
      </w:r>
    </w:p>
    <w:p>
      <w:pPr>
        <w:pStyle w:val="16"/>
        <w:rPr>
          <w:rFonts w:hAnsi="宋体" w:cs="宋体"/>
          <w:color w:val="auto"/>
          <w:highlight w:val="none"/>
        </w:rPr>
      </w:pPr>
      <w:r>
        <w:rPr>
          <w:rFonts w:hAnsi="宋体" w:cs="宋体"/>
          <w:color w:val="auto"/>
          <w:highlight w:val="none"/>
        </w:rPr>
        <w:t>(</w:t>
      </w:r>
      <w:r>
        <w:rPr>
          <w:rFonts w:hint="eastAsia" w:hAnsi="宋体" w:cs="宋体"/>
          <w:color w:val="auto"/>
          <w:highlight w:val="none"/>
        </w:rPr>
        <w:t>单位公章</w:t>
      </w:r>
      <w:r>
        <w:rPr>
          <w:rFonts w:hAnsi="宋体" w:cs="宋体"/>
          <w:color w:val="auto"/>
          <w:highlight w:val="none"/>
        </w:rPr>
        <w:t>)</w:t>
      </w:r>
    </w:p>
    <w:tbl>
      <w:tblPr>
        <w:tblStyle w:val="33"/>
        <w:tblpPr w:leftFromText="180" w:rightFromText="180" w:vertAnchor="text" w:horzAnchor="page" w:tblpX="1322" w:tblpY="288"/>
        <w:tblOverlap w:val="never"/>
        <w:tblW w:w="94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158"/>
        <w:gridCol w:w="552"/>
        <w:gridCol w:w="853"/>
        <w:gridCol w:w="1285"/>
        <w:gridCol w:w="585"/>
        <w:gridCol w:w="555"/>
        <w:gridCol w:w="1485"/>
        <w:gridCol w:w="20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供应商名称</w:t>
            </w:r>
          </w:p>
        </w:tc>
        <w:tc>
          <w:tcPr>
            <w:tcW w:w="3278" w:type="dxa"/>
            <w:gridSpan w:val="4"/>
            <w:tcBorders>
              <w:tl2br w:val="nil"/>
              <w:tr2bl w:val="nil"/>
            </w:tcBorders>
            <w:vAlign w:val="center"/>
          </w:tcPr>
          <w:p>
            <w:pPr>
              <w:pStyle w:val="16"/>
              <w:jc w:val="center"/>
              <w:rPr>
                <w:rFonts w:hAnsi="宋体" w:cs="宋体"/>
                <w:color w:val="auto"/>
                <w:szCs w:val="21"/>
                <w:highlight w:val="none"/>
              </w:rPr>
            </w:pPr>
          </w:p>
        </w:tc>
        <w:tc>
          <w:tcPr>
            <w:tcW w:w="148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法定代表人</w:t>
            </w: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组织机构代码</w:t>
            </w:r>
          </w:p>
        </w:tc>
        <w:tc>
          <w:tcPr>
            <w:tcW w:w="3278" w:type="dxa"/>
            <w:gridSpan w:val="4"/>
            <w:tcBorders>
              <w:tl2br w:val="nil"/>
              <w:tr2bl w:val="nil"/>
            </w:tcBorders>
            <w:vAlign w:val="center"/>
          </w:tcPr>
          <w:p>
            <w:pPr>
              <w:pStyle w:val="16"/>
              <w:jc w:val="center"/>
              <w:rPr>
                <w:rFonts w:hAnsi="宋体" w:cs="宋体"/>
                <w:color w:val="auto"/>
                <w:szCs w:val="21"/>
                <w:highlight w:val="none"/>
              </w:rPr>
            </w:pPr>
          </w:p>
        </w:tc>
        <w:tc>
          <w:tcPr>
            <w:tcW w:w="148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邮政编码</w:t>
            </w: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授权代表</w:t>
            </w:r>
          </w:p>
        </w:tc>
        <w:tc>
          <w:tcPr>
            <w:tcW w:w="3278" w:type="dxa"/>
            <w:gridSpan w:val="4"/>
            <w:tcBorders>
              <w:tl2br w:val="nil"/>
              <w:tr2bl w:val="nil"/>
            </w:tcBorders>
            <w:vAlign w:val="center"/>
          </w:tcPr>
          <w:p>
            <w:pPr>
              <w:pStyle w:val="16"/>
              <w:jc w:val="center"/>
              <w:rPr>
                <w:rFonts w:hAnsi="宋体" w:cs="宋体"/>
                <w:color w:val="auto"/>
                <w:szCs w:val="21"/>
                <w:highlight w:val="none"/>
              </w:rPr>
            </w:pPr>
          </w:p>
        </w:tc>
        <w:tc>
          <w:tcPr>
            <w:tcW w:w="148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电子邮箱</w:t>
            </w: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上年营业收入</w:t>
            </w:r>
          </w:p>
        </w:tc>
        <w:tc>
          <w:tcPr>
            <w:tcW w:w="3278" w:type="dxa"/>
            <w:gridSpan w:val="4"/>
            <w:tcBorders>
              <w:tl2br w:val="nil"/>
              <w:tr2bl w:val="nil"/>
            </w:tcBorders>
            <w:vAlign w:val="center"/>
          </w:tcPr>
          <w:p>
            <w:pPr>
              <w:pStyle w:val="16"/>
              <w:jc w:val="center"/>
              <w:rPr>
                <w:rFonts w:hAnsi="宋体" w:cs="宋体"/>
                <w:color w:val="auto"/>
                <w:szCs w:val="21"/>
                <w:highlight w:val="none"/>
              </w:rPr>
            </w:pPr>
          </w:p>
        </w:tc>
        <w:tc>
          <w:tcPr>
            <w:tcW w:w="148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员工总人数</w:t>
            </w: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0" w:type="dxa"/>
            <w:vMerge w:val="restart"/>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营业</w:t>
            </w:r>
          </w:p>
          <w:p>
            <w:pPr>
              <w:pStyle w:val="16"/>
              <w:jc w:val="center"/>
              <w:rPr>
                <w:rFonts w:hAnsi="宋体" w:cs="宋体"/>
                <w:color w:val="auto"/>
                <w:szCs w:val="21"/>
                <w:highlight w:val="none"/>
              </w:rPr>
            </w:pPr>
            <w:r>
              <w:rPr>
                <w:rFonts w:hint="eastAsia" w:hAnsi="宋体" w:cs="宋体"/>
                <w:color w:val="auto"/>
                <w:szCs w:val="21"/>
                <w:highlight w:val="none"/>
              </w:rPr>
              <w:t>执照</w:t>
            </w:r>
          </w:p>
        </w:tc>
        <w:tc>
          <w:tcPr>
            <w:tcW w:w="171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注册号码</w:t>
            </w:r>
          </w:p>
        </w:tc>
        <w:tc>
          <w:tcPr>
            <w:tcW w:w="2138" w:type="dxa"/>
            <w:gridSpan w:val="2"/>
            <w:tcBorders>
              <w:tl2br w:val="nil"/>
              <w:tr2bl w:val="nil"/>
            </w:tcBorders>
            <w:vAlign w:val="center"/>
          </w:tcPr>
          <w:p>
            <w:pPr>
              <w:pStyle w:val="16"/>
              <w:jc w:val="center"/>
              <w:rPr>
                <w:rFonts w:hAnsi="宋体" w:cs="宋体"/>
                <w:color w:val="auto"/>
                <w:szCs w:val="21"/>
                <w:highlight w:val="none"/>
              </w:rPr>
            </w:pPr>
          </w:p>
        </w:tc>
        <w:tc>
          <w:tcPr>
            <w:tcW w:w="114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注册地址</w:t>
            </w:r>
          </w:p>
        </w:tc>
        <w:tc>
          <w:tcPr>
            <w:tcW w:w="3492" w:type="dxa"/>
            <w:gridSpan w:val="2"/>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80" w:type="dxa"/>
            <w:vMerge w:val="continue"/>
            <w:tcBorders>
              <w:tl2br w:val="nil"/>
              <w:tr2bl w:val="nil"/>
            </w:tcBorders>
            <w:vAlign w:val="center"/>
          </w:tcPr>
          <w:p>
            <w:pPr>
              <w:pStyle w:val="16"/>
              <w:jc w:val="center"/>
              <w:rPr>
                <w:rFonts w:hAnsi="宋体" w:cs="宋体"/>
                <w:color w:val="auto"/>
                <w:szCs w:val="21"/>
                <w:highlight w:val="none"/>
              </w:rPr>
            </w:pPr>
          </w:p>
        </w:tc>
        <w:tc>
          <w:tcPr>
            <w:tcW w:w="171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发证机关</w:t>
            </w:r>
          </w:p>
        </w:tc>
        <w:tc>
          <w:tcPr>
            <w:tcW w:w="2138" w:type="dxa"/>
            <w:gridSpan w:val="2"/>
            <w:tcBorders>
              <w:tl2br w:val="nil"/>
              <w:tr2bl w:val="nil"/>
            </w:tcBorders>
            <w:vAlign w:val="center"/>
          </w:tcPr>
          <w:p>
            <w:pPr>
              <w:pStyle w:val="16"/>
              <w:jc w:val="center"/>
              <w:rPr>
                <w:rFonts w:hAnsi="宋体" w:cs="宋体"/>
                <w:color w:val="auto"/>
                <w:szCs w:val="21"/>
                <w:highlight w:val="none"/>
              </w:rPr>
            </w:pPr>
          </w:p>
        </w:tc>
        <w:tc>
          <w:tcPr>
            <w:tcW w:w="114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发证日期</w:t>
            </w:r>
          </w:p>
        </w:tc>
        <w:tc>
          <w:tcPr>
            <w:tcW w:w="3492" w:type="dxa"/>
            <w:gridSpan w:val="2"/>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80" w:type="dxa"/>
            <w:vMerge w:val="continue"/>
            <w:tcBorders>
              <w:tl2br w:val="nil"/>
              <w:tr2bl w:val="nil"/>
            </w:tcBorders>
            <w:vAlign w:val="center"/>
          </w:tcPr>
          <w:p>
            <w:pPr>
              <w:pStyle w:val="16"/>
              <w:jc w:val="center"/>
              <w:rPr>
                <w:rFonts w:hAnsi="宋体" w:cs="宋体"/>
                <w:color w:val="auto"/>
                <w:szCs w:val="21"/>
                <w:highlight w:val="none"/>
              </w:rPr>
            </w:pPr>
          </w:p>
        </w:tc>
        <w:tc>
          <w:tcPr>
            <w:tcW w:w="171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营业范围</w:t>
            </w:r>
            <w:r>
              <w:rPr>
                <w:rFonts w:hAnsi="宋体" w:cs="宋体"/>
                <w:color w:val="auto"/>
                <w:szCs w:val="21"/>
                <w:highlight w:val="none"/>
              </w:rPr>
              <w:t>(</w:t>
            </w:r>
            <w:r>
              <w:rPr>
                <w:rFonts w:hint="eastAsia" w:hAnsi="宋体" w:cs="宋体"/>
                <w:color w:val="auto"/>
                <w:szCs w:val="21"/>
                <w:highlight w:val="none"/>
              </w:rPr>
              <w:t>主营</w:t>
            </w:r>
            <w:r>
              <w:rPr>
                <w:rFonts w:hAnsi="宋体" w:cs="宋体"/>
                <w:color w:val="auto"/>
                <w:szCs w:val="21"/>
                <w:highlight w:val="none"/>
              </w:rPr>
              <w:t>)</w:t>
            </w:r>
          </w:p>
        </w:tc>
        <w:tc>
          <w:tcPr>
            <w:tcW w:w="6770" w:type="dxa"/>
            <w:gridSpan w:val="6"/>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80" w:type="dxa"/>
            <w:vMerge w:val="continue"/>
            <w:tcBorders>
              <w:tl2br w:val="nil"/>
              <w:tr2bl w:val="nil"/>
            </w:tcBorders>
            <w:vAlign w:val="center"/>
          </w:tcPr>
          <w:p>
            <w:pPr>
              <w:pStyle w:val="16"/>
              <w:jc w:val="center"/>
              <w:rPr>
                <w:rFonts w:hAnsi="宋体" w:cs="宋体"/>
                <w:color w:val="auto"/>
                <w:szCs w:val="21"/>
                <w:highlight w:val="none"/>
              </w:rPr>
            </w:pPr>
          </w:p>
        </w:tc>
        <w:tc>
          <w:tcPr>
            <w:tcW w:w="171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营业范围</w:t>
            </w:r>
            <w:r>
              <w:rPr>
                <w:rFonts w:hAnsi="宋体" w:cs="宋体"/>
                <w:color w:val="auto"/>
                <w:szCs w:val="21"/>
                <w:highlight w:val="none"/>
              </w:rPr>
              <w:t>(</w:t>
            </w:r>
            <w:r>
              <w:rPr>
                <w:rFonts w:hint="eastAsia" w:hAnsi="宋体" w:cs="宋体"/>
                <w:color w:val="auto"/>
                <w:szCs w:val="21"/>
                <w:highlight w:val="none"/>
              </w:rPr>
              <w:t>兼营</w:t>
            </w:r>
            <w:r>
              <w:rPr>
                <w:rFonts w:hAnsi="宋体" w:cs="宋体"/>
                <w:color w:val="auto"/>
                <w:szCs w:val="21"/>
                <w:highlight w:val="none"/>
              </w:rPr>
              <w:t>)</w:t>
            </w:r>
          </w:p>
        </w:tc>
        <w:tc>
          <w:tcPr>
            <w:tcW w:w="6770" w:type="dxa"/>
            <w:gridSpan w:val="6"/>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基本账户开户行及账号</w:t>
            </w:r>
          </w:p>
        </w:tc>
        <w:tc>
          <w:tcPr>
            <w:tcW w:w="6770" w:type="dxa"/>
            <w:gridSpan w:val="6"/>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690" w:type="dxa"/>
            <w:gridSpan w:val="3"/>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税务登记机关</w:t>
            </w:r>
          </w:p>
        </w:tc>
        <w:tc>
          <w:tcPr>
            <w:tcW w:w="6770" w:type="dxa"/>
            <w:gridSpan w:val="6"/>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543" w:type="dxa"/>
            <w:gridSpan w:val="4"/>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资质名称</w:t>
            </w:r>
          </w:p>
        </w:tc>
        <w:tc>
          <w:tcPr>
            <w:tcW w:w="187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等级</w:t>
            </w:r>
          </w:p>
        </w:tc>
        <w:tc>
          <w:tcPr>
            <w:tcW w:w="2040"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发证机关</w:t>
            </w:r>
          </w:p>
        </w:tc>
        <w:tc>
          <w:tcPr>
            <w:tcW w:w="2007"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有效期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543" w:type="dxa"/>
            <w:gridSpan w:val="4"/>
            <w:tcBorders>
              <w:tl2br w:val="nil"/>
              <w:tr2bl w:val="nil"/>
            </w:tcBorders>
            <w:vAlign w:val="center"/>
          </w:tcPr>
          <w:p>
            <w:pPr>
              <w:pStyle w:val="16"/>
              <w:jc w:val="center"/>
              <w:rPr>
                <w:rFonts w:hAnsi="宋体" w:cs="宋体"/>
                <w:color w:val="auto"/>
                <w:szCs w:val="21"/>
                <w:highlight w:val="none"/>
              </w:rPr>
            </w:pPr>
          </w:p>
        </w:tc>
        <w:tc>
          <w:tcPr>
            <w:tcW w:w="1870" w:type="dxa"/>
            <w:gridSpan w:val="2"/>
            <w:tcBorders>
              <w:tl2br w:val="nil"/>
              <w:tr2bl w:val="nil"/>
            </w:tcBorders>
            <w:vAlign w:val="center"/>
          </w:tcPr>
          <w:p>
            <w:pPr>
              <w:pStyle w:val="16"/>
              <w:jc w:val="center"/>
              <w:rPr>
                <w:rFonts w:hAnsi="宋体" w:cs="宋体"/>
                <w:color w:val="auto"/>
                <w:szCs w:val="21"/>
                <w:highlight w:val="none"/>
              </w:rPr>
            </w:pPr>
          </w:p>
        </w:tc>
        <w:tc>
          <w:tcPr>
            <w:tcW w:w="2040" w:type="dxa"/>
            <w:gridSpan w:val="2"/>
            <w:tcBorders>
              <w:tl2br w:val="nil"/>
              <w:tr2bl w:val="nil"/>
            </w:tcBorders>
            <w:vAlign w:val="center"/>
          </w:tcPr>
          <w:p>
            <w:pPr>
              <w:pStyle w:val="16"/>
              <w:jc w:val="center"/>
              <w:rPr>
                <w:rFonts w:hAnsi="宋体" w:cs="宋体"/>
                <w:color w:val="auto"/>
                <w:szCs w:val="21"/>
                <w:highlight w:val="none"/>
              </w:rPr>
            </w:pP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543" w:type="dxa"/>
            <w:gridSpan w:val="4"/>
            <w:tcBorders>
              <w:tl2br w:val="nil"/>
              <w:tr2bl w:val="nil"/>
            </w:tcBorders>
            <w:vAlign w:val="center"/>
          </w:tcPr>
          <w:p>
            <w:pPr>
              <w:pStyle w:val="16"/>
              <w:jc w:val="center"/>
              <w:rPr>
                <w:rFonts w:hAnsi="宋体" w:cs="宋体"/>
                <w:color w:val="auto"/>
                <w:szCs w:val="21"/>
                <w:highlight w:val="none"/>
              </w:rPr>
            </w:pPr>
          </w:p>
        </w:tc>
        <w:tc>
          <w:tcPr>
            <w:tcW w:w="1870" w:type="dxa"/>
            <w:gridSpan w:val="2"/>
            <w:tcBorders>
              <w:tl2br w:val="nil"/>
              <w:tr2bl w:val="nil"/>
            </w:tcBorders>
            <w:vAlign w:val="center"/>
          </w:tcPr>
          <w:p>
            <w:pPr>
              <w:pStyle w:val="16"/>
              <w:jc w:val="center"/>
              <w:rPr>
                <w:rFonts w:hAnsi="宋体" w:cs="宋体"/>
                <w:color w:val="auto"/>
                <w:szCs w:val="21"/>
                <w:highlight w:val="none"/>
              </w:rPr>
            </w:pPr>
          </w:p>
        </w:tc>
        <w:tc>
          <w:tcPr>
            <w:tcW w:w="2040" w:type="dxa"/>
            <w:gridSpan w:val="2"/>
            <w:tcBorders>
              <w:tl2br w:val="nil"/>
              <w:tr2bl w:val="nil"/>
            </w:tcBorders>
            <w:vAlign w:val="center"/>
          </w:tcPr>
          <w:p>
            <w:pPr>
              <w:pStyle w:val="16"/>
              <w:jc w:val="center"/>
              <w:rPr>
                <w:rFonts w:hAnsi="宋体" w:cs="宋体"/>
                <w:color w:val="auto"/>
                <w:szCs w:val="21"/>
                <w:highlight w:val="none"/>
              </w:rPr>
            </w:pP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543" w:type="dxa"/>
            <w:gridSpan w:val="4"/>
            <w:tcBorders>
              <w:tl2br w:val="nil"/>
              <w:tr2bl w:val="nil"/>
            </w:tcBorders>
            <w:vAlign w:val="center"/>
          </w:tcPr>
          <w:p>
            <w:pPr>
              <w:pStyle w:val="16"/>
              <w:jc w:val="center"/>
              <w:rPr>
                <w:rFonts w:hAnsi="宋体" w:cs="宋体"/>
                <w:color w:val="auto"/>
                <w:szCs w:val="21"/>
                <w:highlight w:val="none"/>
              </w:rPr>
            </w:pPr>
          </w:p>
        </w:tc>
        <w:tc>
          <w:tcPr>
            <w:tcW w:w="1870" w:type="dxa"/>
            <w:gridSpan w:val="2"/>
            <w:tcBorders>
              <w:tl2br w:val="nil"/>
              <w:tr2bl w:val="nil"/>
            </w:tcBorders>
            <w:vAlign w:val="center"/>
          </w:tcPr>
          <w:p>
            <w:pPr>
              <w:pStyle w:val="16"/>
              <w:jc w:val="center"/>
              <w:rPr>
                <w:rFonts w:hAnsi="宋体" w:cs="宋体"/>
                <w:color w:val="auto"/>
                <w:szCs w:val="21"/>
                <w:highlight w:val="none"/>
              </w:rPr>
            </w:pPr>
          </w:p>
        </w:tc>
        <w:tc>
          <w:tcPr>
            <w:tcW w:w="2040" w:type="dxa"/>
            <w:gridSpan w:val="2"/>
            <w:tcBorders>
              <w:tl2br w:val="nil"/>
              <w:tr2bl w:val="nil"/>
            </w:tcBorders>
            <w:vAlign w:val="center"/>
          </w:tcPr>
          <w:p>
            <w:pPr>
              <w:pStyle w:val="16"/>
              <w:jc w:val="center"/>
              <w:rPr>
                <w:rFonts w:hAnsi="宋体" w:cs="宋体"/>
                <w:color w:val="auto"/>
                <w:szCs w:val="21"/>
                <w:highlight w:val="none"/>
              </w:rPr>
            </w:pPr>
          </w:p>
        </w:tc>
        <w:tc>
          <w:tcPr>
            <w:tcW w:w="2007"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138" w:type="dxa"/>
            <w:gridSpan w:val="2"/>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备注</w:t>
            </w:r>
          </w:p>
        </w:tc>
        <w:tc>
          <w:tcPr>
            <w:tcW w:w="7322" w:type="dxa"/>
            <w:gridSpan w:val="7"/>
            <w:tcBorders>
              <w:tl2br w:val="nil"/>
              <w:tr2bl w:val="nil"/>
            </w:tcBorders>
            <w:vAlign w:val="center"/>
          </w:tcPr>
          <w:p>
            <w:pPr>
              <w:pStyle w:val="16"/>
              <w:jc w:val="center"/>
              <w:rPr>
                <w:rFonts w:hAnsi="宋体" w:cs="宋体"/>
                <w:color w:val="auto"/>
                <w:szCs w:val="21"/>
                <w:highlight w:val="none"/>
              </w:rPr>
            </w:pPr>
          </w:p>
        </w:tc>
      </w:tr>
    </w:tbl>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0" w:firstLineChars="200"/>
        <w:rPr>
          <w:rFonts w:ascii="Times New Roman" w:hAnsi="Times New Roman"/>
          <w:b/>
          <w:bCs/>
          <w:color w:val="auto"/>
          <w:highlight w:val="none"/>
        </w:rPr>
      </w:pPr>
      <w:r>
        <w:rPr>
          <w:rFonts w:hint="eastAsia" w:ascii="Times New Roman" w:hAnsi="Times New Roman"/>
          <w:color w:val="auto"/>
          <w:highlight w:val="none"/>
        </w:rPr>
        <w:t>附件3－</w:t>
      </w:r>
      <w:r>
        <w:rPr>
          <w:rFonts w:ascii="Times New Roman" w:hAnsi="Times New Roman"/>
          <w:color w:val="auto"/>
          <w:highlight w:val="none"/>
        </w:rPr>
        <w:t>1</w:t>
      </w:r>
      <w:r>
        <w:rPr>
          <w:rFonts w:hint="eastAsia" w:ascii="Times New Roman" w:hAnsi="Times New Roman"/>
          <w:b/>
          <w:bCs/>
          <w:color w:val="auto"/>
          <w:highlight w:val="none"/>
        </w:rPr>
        <w:t>　法人或者其他组织的营业执照副本复印件或自然人的身份证明复印件</w:t>
      </w:r>
    </w:p>
    <w:p>
      <w:pPr>
        <w:pStyle w:val="16"/>
        <w:ind w:firstLine="420" w:firstLineChars="200"/>
        <w:jc w:val="center"/>
        <w:rPr>
          <w:rFonts w:ascii="Times New Roman" w:hAnsi="Times New Roman" w:eastAsia="MingLiU_HKSCS"/>
          <w:color w:val="auto"/>
          <w:highlight w:val="none"/>
        </w:rPr>
      </w:pPr>
      <w:r>
        <w:rPr>
          <w:rFonts w:ascii="Times New Roman" w:hAnsi="Times New Roman"/>
          <w:color w:val="auto"/>
          <w:highlight w:val="none"/>
        </w:rPr>
        <w:t>(</w:t>
      </w:r>
      <w:r>
        <w:rPr>
          <w:rFonts w:hint="eastAsia" w:ascii="Times New Roman" w:hAnsi="Times New Roman"/>
          <w:color w:val="auto"/>
          <w:highlight w:val="none"/>
        </w:rPr>
        <w:t>示例略</w:t>
      </w:r>
      <w:r>
        <w:rPr>
          <w:rFonts w:ascii="Times New Roman" w:hAnsi="Times New Roman"/>
          <w:color w:val="auto"/>
          <w:highlight w:val="none"/>
        </w:rPr>
        <w:t>)</w:t>
      </w:r>
    </w:p>
    <w:p>
      <w:pPr>
        <w:pStyle w:val="16"/>
        <w:spacing w:line="360" w:lineRule="auto"/>
        <w:ind w:firstLine="420" w:firstLineChars="200"/>
        <w:rPr>
          <w:rFonts w:ascii="Times New Roman" w:hAnsi="Times New Roman"/>
          <w:color w:val="auto"/>
          <w:highlight w:val="none"/>
        </w:rPr>
      </w:pPr>
    </w:p>
    <w:p>
      <w:pPr>
        <w:pStyle w:val="16"/>
        <w:spacing w:line="360" w:lineRule="auto"/>
        <w:ind w:firstLine="420" w:firstLineChars="200"/>
        <w:rPr>
          <w:rFonts w:ascii="Times New Roman" w:hAnsi="Times New Roman"/>
          <w:b/>
          <w:bCs/>
          <w:color w:val="auto"/>
          <w:highlight w:val="none"/>
        </w:rPr>
      </w:pPr>
      <w:r>
        <w:rPr>
          <w:rFonts w:hint="eastAsia" w:ascii="Times New Roman" w:hAnsi="Times New Roman"/>
          <w:color w:val="auto"/>
          <w:highlight w:val="none"/>
        </w:rPr>
        <w:t>附件3－</w:t>
      </w:r>
      <w:r>
        <w:rPr>
          <w:rFonts w:ascii="Times New Roman" w:hAnsi="Times New Roman"/>
          <w:color w:val="auto"/>
          <w:highlight w:val="none"/>
        </w:rPr>
        <w:t>2</w:t>
      </w:r>
      <w:r>
        <w:rPr>
          <w:rFonts w:hint="eastAsia" w:ascii="Times New Roman" w:hAnsi="Times New Roman"/>
          <w:b/>
          <w:bCs/>
          <w:color w:val="auto"/>
          <w:highlight w:val="none"/>
        </w:rPr>
        <w:t>　法人或者其他组织的依法缴纳税收的证明材料</w:t>
      </w:r>
    </w:p>
    <w:p>
      <w:pPr>
        <w:pStyle w:val="16"/>
        <w:ind w:firstLine="420" w:firstLineChars="200"/>
        <w:jc w:val="center"/>
        <w:rPr>
          <w:rFonts w:ascii="Times New Roman" w:hAnsi="Times New Roman" w:eastAsia="MingLiU_HKSCS"/>
          <w:color w:val="auto"/>
          <w:highlight w:val="none"/>
        </w:rPr>
      </w:pPr>
      <w:r>
        <w:rPr>
          <w:rFonts w:ascii="Times New Roman" w:hAnsi="Times New Roman"/>
          <w:color w:val="auto"/>
          <w:highlight w:val="none"/>
        </w:rPr>
        <w:t>(</w:t>
      </w:r>
      <w:r>
        <w:rPr>
          <w:rFonts w:hint="eastAsia" w:ascii="Times New Roman" w:hAnsi="Times New Roman"/>
          <w:color w:val="auto"/>
          <w:highlight w:val="none"/>
        </w:rPr>
        <w:t>示例略</w:t>
      </w:r>
      <w:r>
        <w:rPr>
          <w:rFonts w:ascii="Times New Roman" w:hAnsi="Times New Roman"/>
          <w:color w:val="auto"/>
          <w:highlight w:val="none"/>
        </w:rPr>
        <w:t>)</w:t>
      </w:r>
    </w:p>
    <w:p>
      <w:pPr>
        <w:pStyle w:val="16"/>
        <w:spacing w:line="360" w:lineRule="auto"/>
        <w:ind w:firstLine="422" w:firstLineChars="200"/>
        <w:rPr>
          <w:rFonts w:ascii="Times New Roman" w:hAnsi="Times New Roman"/>
          <w:b/>
          <w:bCs/>
          <w:color w:val="auto"/>
          <w:highlight w:val="none"/>
        </w:rPr>
      </w:pPr>
    </w:p>
    <w:p>
      <w:pPr>
        <w:pStyle w:val="16"/>
        <w:ind w:firstLine="420" w:firstLineChars="200"/>
        <w:rPr>
          <w:rFonts w:ascii="Times New Roman" w:hAnsi="Times New Roman"/>
          <w:b/>
          <w:bCs/>
          <w:color w:val="auto"/>
          <w:highlight w:val="none"/>
        </w:rPr>
      </w:pPr>
      <w:r>
        <w:rPr>
          <w:rFonts w:hint="eastAsia" w:ascii="Times New Roman" w:hAnsi="Times New Roman"/>
          <w:color w:val="auto"/>
          <w:highlight w:val="none"/>
        </w:rPr>
        <w:t>附件3－</w:t>
      </w:r>
      <w:r>
        <w:rPr>
          <w:rFonts w:ascii="Times New Roman" w:hAnsi="Times New Roman"/>
          <w:color w:val="auto"/>
          <w:highlight w:val="none"/>
        </w:rPr>
        <w:t>3</w:t>
      </w:r>
      <w:r>
        <w:rPr>
          <w:rFonts w:hint="eastAsia" w:ascii="Times New Roman" w:hAnsi="Times New Roman"/>
          <w:b/>
          <w:bCs/>
          <w:color w:val="auto"/>
          <w:highlight w:val="none"/>
        </w:rPr>
        <w:t>　财务状况报告、依法缴纳社会保障资金的证明材料</w:t>
      </w:r>
    </w:p>
    <w:p>
      <w:pPr>
        <w:pStyle w:val="16"/>
        <w:ind w:firstLine="420" w:firstLineChars="200"/>
        <w:jc w:val="center"/>
        <w:rPr>
          <w:rFonts w:ascii="Times New Roman" w:hAnsi="Times New Roman" w:eastAsia="MingLiU_HKSCS"/>
          <w:color w:val="auto"/>
          <w:highlight w:val="none"/>
        </w:rPr>
      </w:pPr>
      <w:r>
        <w:rPr>
          <w:rFonts w:ascii="Times New Roman" w:hAnsi="Times New Roman"/>
          <w:color w:val="auto"/>
          <w:highlight w:val="none"/>
        </w:rPr>
        <w:t>(</w:t>
      </w:r>
      <w:r>
        <w:rPr>
          <w:rFonts w:hint="eastAsia" w:ascii="Times New Roman" w:hAnsi="Times New Roman"/>
          <w:color w:val="auto"/>
          <w:highlight w:val="none"/>
        </w:rPr>
        <w:t>示例略</w:t>
      </w:r>
      <w:r>
        <w:rPr>
          <w:rFonts w:ascii="Times New Roman" w:hAnsi="Times New Roman"/>
          <w:color w:val="auto"/>
          <w:highlight w:val="none"/>
        </w:rPr>
        <w:t>)</w:t>
      </w:r>
    </w:p>
    <w:p>
      <w:pPr>
        <w:pStyle w:val="16"/>
        <w:spacing w:line="360" w:lineRule="auto"/>
        <w:ind w:firstLine="422" w:firstLineChars="200"/>
        <w:rPr>
          <w:rFonts w:ascii="仿宋" w:hAnsi="仿宋" w:eastAsia="仿宋" w:cs="仿宋"/>
          <w:color w:val="auto"/>
          <w:highlight w:val="none"/>
        </w:rPr>
      </w:pPr>
      <w:r>
        <w:rPr>
          <w:rFonts w:hint="eastAsia" w:ascii="仿宋" w:hAnsi="仿宋" w:eastAsia="仿宋" w:cs="仿宋"/>
          <w:b/>
          <w:bCs/>
          <w:color w:val="auto"/>
          <w:highlight w:val="none"/>
        </w:rPr>
        <w:t>备注：</w:t>
      </w:r>
      <w:r>
        <w:rPr>
          <w:rFonts w:hint="eastAsia" w:ascii="仿宋" w:hAnsi="仿宋" w:eastAsia="仿宋" w:cs="仿宋"/>
          <w:color w:val="auto"/>
          <w:highlight w:val="none"/>
        </w:rPr>
        <w:t>1、提供供应商2021年度财务状况报告复印件，包括资产负债表、损益表等复印件。(如供应商为新成立公司的，应提供公司成立之日后的财务报表)</w:t>
      </w:r>
    </w:p>
    <w:p>
      <w:pPr>
        <w:pStyle w:val="16"/>
        <w:spacing w:line="440" w:lineRule="exact"/>
        <w:ind w:firstLine="1050" w:firstLineChars="500"/>
        <w:rPr>
          <w:rFonts w:hAnsi="宋体"/>
          <w:b/>
          <w:bCs/>
          <w:color w:val="auto"/>
          <w:highlight w:val="none"/>
        </w:rPr>
      </w:pPr>
      <w:r>
        <w:rPr>
          <w:rFonts w:hint="eastAsia" w:ascii="仿宋" w:hAnsi="仿宋" w:eastAsia="仿宋" w:cs="仿宋"/>
          <w:color w:val="auto"/>
          <w:highlight w:val="none"/>
        </w:rPr>
        <w:t>2、提供依法缴纳社会保障资金的证明材料。</w:t>
      </w:r>
    </w:p>
    <w:p>
      <w:pPr>
        <w:pStyle w:val="16"/>
        <w:spacing w:line="440" w:lineRule="exact"/>
        <w:ind w:firstLine="422" w:firstLineChars="200"/>
        <w:rPr>
          <w:rFonts w:hAnsi="宋体"/>
          <w:b/>
          <w:bCs/>
          <w:color w:val="auto"/>
          <w:highlight w:val="none"/>
        </w:rPr>
      </w:pPr>
    </w:p>
    <w:p>
      <w:pPr>
        <w:pStyle w:val="16"/>
        <w:spacing w:line="440" w:lineRule="exact"/>
        <w:ind w:firstLine="422" w:firstLineChars="200"/>
        <w:rPr>
          <w:rFonts w:hAnsi="宋体"/>
          <w:color w:val="auto"/>
          <w:highlight w:val="none"/>
        </w:rPr>
      </w:pPr>
      <w:r>
        <w:rPr>
          <w:rFonts w:hint="eastAsia" w:hAnsi="宋体"/>
          <w:b/>
          <w:bCs/>
          <w:color w:val="auto"/>
          <w:highlight w:val="none"/>
        </w:rPr>
        <w:t>说明：</w:t>
      </w:r>
      <w:r>
        <w:rPr>
          <w:rFonts w:hint="eastAsia" w:hAnsi="宋体"/>
          <w:color w:val="auto"/>
          <w:highlight w:val="none"/>
        </w:rPr>
        <w:t>（1）依法缴纳税收和社会保障资金证明材料</w:t>
      </w:r>
      <w:r>
        <w:rPr>
          <w:rFonts w:hint="eastAsia" w:ascii="Times New Roman" w:hAnsi="Times New Roman"/>
          <w:color w:val="auto"/>
          <w:highlight w:val="none"/>
        </w:rPr>
        <w:t>的复印件</w:t>
      </w:r>
      <w:r>
        <w:rPr>
          <w:rFonts w:hint="eastAsia" w:hAnsi="宋体"/>
          <w:color w:val="auto"/>
          <w:highlight w:val="none"/>
        </w:rPr>
        <w:t>：可以是《税务登记证》（</w:t>
      </w:r>
      <w:r>
        <w:rPr>
          <w:rFonts w:hint="eastAsia" w:ascii="Times New Roman" w:hAnsi="Times New Roman"/>
          <w:b/>
          <w:bCs/>
          <w:color w:val="auto"/>
          <w:highlight w:val="none"/>
        </w:rPr>
        <w:t>按规定可不进行税务登记的不提供）</w:t>
      </w:r>
      <w:r>
        <w:rPr>
          <w:rFonts w:hint="eastAsia" w:hAnsi="宋体"/>
          <w:color w:val="auto"/>
          <w:highlight w:val="none"/>
        </w:rPr>
        <w:t>和《社会保险登记证》的复印件，或者近三个月依法缴纳税收和社会保险费的证明（纳税及缴费凭证复印件），或者委托他人缴纳的委托代办协议和近三个月的缴纳证明（收据复印件），或者法定征收机关出具的依法免缴税费的证明原件。</w:t>
      </w:r>
    </w:p>
    <w:p>
      <w:pPr>
        <w:pStyle w:val="16"/>
        <w:spacing w:line="440" w:lineRule="exact"/>
        <w:ind w:firstLine="420" w:firstLineChars="200"/>
        <w:rPr>
          <w:rFonts w:hAnsi="宋体"/>
          <w:color w:val="auto"/>
          <w:highlight w:val="none"/>
        </w:rPr>
      </w:pPr>
      <w:r>
        <w:rPr>
          <w:rFonts w:hint="eastAsia" w:hAnsi="宋体"/>
          <w:color w:val="auto"/>
          <w:highlight w:val="none"/>
        </w:rPr>
        <w:t>（2）供应商具有实行了“三证合一”登记制度改革的新证，视同为持有《税务登记证》。</w:t>
      </w:r>
    </w:p>
    <w:p>
      <w:pPr>
        <w:pStyle w:val="16"/>
        <w:spacing w:line="440" w:lineRule="exact"/>
        <w:ind w:firstLine="420"/>
        <w:rPr>
          <w:rFonts w:hAnsi="宋体"/>
          <w:color w:val="auto"/>
          <w:highlight w:val="none"/>
        </w:rPr>
      </w:pPr>
      <w:r>
        <w:rPr>
          <w:rFonts w:hint="eastAsia" w:hAnsi="宋体"/>
          <w:color w:val="auto"/>
          <w:highlight w:val="none"/>
        </w:rPr>
        <w:t>（3）供应商具有实行了“五证合一”登记制度改革的新证，视同为持有《税务登记证》及《社保登记证》。</w:t>
      </w:r>
    </w:p>
    <w:p>
      <w:pPr>
        <w:pStyle w:val="16"/>
        <w:spacing w:line="440" w:lineRule="exact"/>
        <w:ind w:firstLine="420"/>
        <w:rPr>
          <w:rFonts w:hAnsi="宋体"/>
          <w:color w:val="auto"/>
          <w:highlight w:val="none"/>
        </w:rPr>
      </w:pPr>
      <w:r>
        <w:rPr>
          <w:rFonts w:hint="eastAsia" w:hAnsi="宋体"/>
          <w:color w:val="auto"/>
          <w:highlight w:val="none"/>
        </w:rPr>
        <w:t>（4）“三证合一”为国发【2015】33号文件规定，2015年10月1日执行；“五证合一”为国发【2016】53号文件规定，2016年10月1日执行），供应商如为“三证合一”或“五证合一”须自行注明。</w:t>
      </w:r>
    </w:p>
    <w:p>
      <w:pPr>
        <w:pStyle w:val="16"/>
        <w:spacing w:line="360" w:lineRule="auto"/>
        <w:ind w:firstLine="420" w:firstLineChars="200"/>
        <w:rPr>
          <w:rFonts w:ascii="Times New Roman" w:hAnsi="Times New Roman"/>
          <w:color w:val="auto"/>
          <w:highlight w:val="none"/>
        </w:rPr>
      </w:pPr>
    </w:p>
    <w:p>
      <w:pPr>
        <w:pStyle w:val="16"/>
        <w:spacing w:line="360" w:lineRule="auto"/>
        <w:ind w:firstLine="420" w:firstLineChars="200"/>
        <w:rPr>
          <w:rFonts w:ascii="Times New Roman" w:hAnsi="Times New Roman"/>
          <w:color w:val="auto"/>
          <w:highlight w:val="none"/>
        </w:rPr>
      </w:pPr>
    </w:p>
    <w:p>
      <w:pPr>
        <w:pStyle w:val="16"/>
        <w:spacing w:line="360" w:lineRule="auto"/>
        <w:ind w:firstLine="420" w:firstLineChars="200"/>
        <w:rPr>
          <w:rFonts w:ascii="Times New Roman" w:hAnsi="Times New Roman"/>
          <w:color w:val="auto"/>
          <w:highlight w:val="none"/>
        </w:rPr>
      </w:pPr>
    </w:p>
    <w:p>
      <w:pPr>
        <w:pStyle w:val="16"/>
        <w:spacing w:line="360" w:lineRule="auto"/>
        <w:ind w:firstLine="420" w:firstLineChars="200"/>
        <w:rPr>
          <w:rFonts w:ascii="Times New Roman" w:hAnsi="Times New Roman"/>
          <w:color w:val="auto"/>
          <w:highlight w:val="none"/>
        </w:rPr>
      </w:pPr>
    </w:p>
    <w:p>
      <w:pPr>
        <w:pStyle w:val="16"/>
        <w:spacing w:line="360" w:lineRule="auto"/>
        <w:ind w:firstLine="420" w:firstLineChars="200"/>
        <w:rPr>
          <w:rFonts w:ascii="Times New Roman" w:hAnsi="Times New Roman"/>
          <w:b/>
          <w:bCs/>
          <w:color w:val="auto"/>
          <w:highlight w:val="none"/>
        </w:rPr>
      </w:pPr>
      <w:r>
        <w:rPr>
          <w:rFonts w:hint="eastAsia" w:ascii="Times New Roman" w:hAnsi="Times New Roman"/>
          <w:color w:val="auto"/>
          <w:highlight w:val="none"/>
        </w:rPr>
        <w:t>附件3－</w:t>
      </w:r>
      <w:r>
        <w:rPr>
          <w:rFonts w:ascii="Times New Roman" w:hAnsi="Times New Roman"/>
          <w:color w:val="auto"/>
          <w:highlight w:val="none"/>
        </w:rPr>
        <w:t>4</w:t>
      </w:r>
      <w:r>
        <w:rPr>
          <w:rFonts w:hint="eastAsia" w:ascii="Times New Roman" w:hAnsi="Times New Roman"/>
          <w:b/>
          <w:bCs/>
          <w:color w:val="auto"/>
          <w:highlight w:val="none"/>
        </w:rPr>
        <w:t>　具备履行合同所必需的设备和专业技术能力的证明材料</w:t>
      </w:r>
      <w:r>
        <w:rPr>
          <w:rFonts w:ascii="Times New Roman" w:hAnsi="Times New Roman"/>
          <w:b/>
          <w:bCs/>
          <w:color w:val="auto"/>
          <w:highlight w:val="none"/>
        </w:rPr>
        <w:t>(</w:t>
      </w:r>
      <w:r>
        <w:rPr>
          <w:rFonts w:hint="eastAsia" w:ascii="Times New Roman" w:hAnsi="Times New Roman"/>
          <w:b/>
          <w:bCs/>
          <w:color w:val="auto"/>
          <w:highlight w:val="none"/>
        </w:rPr>
        <w:t>由供应商根据项目需求提供说明材料</w:t>
      </w:r>
      <w:r>
        <w:rPr>
          <w:rFonts w:ascii="Times New Roman" w:hAnsi="Times New Roman"/>
          <w:b/>
          <w:bCs/>
          <w:color w:val="auto"/>
          <w:highlight w:val="none"/>
        </w:rPr>
        <w:t>)</w:t>
      </w:r>
    </w:p>
    <w:p>
      <w:pPr>
        <w:pStyle w:val="16"/>
        <w:ind w:firstLine="420" w:firstLineChars="200"/>
        <w:jc w:val="center"/>
        <w:rPr>
          <w:rFonts w:ascii="Times New Roman" w:hAnsi="Times New Roman" w:eastAsia="MingLiU_HKSCS"/>
          <w:color w:val="auto"/>
          <w:highlight w:val="none"/>
        </w:rPr>
      </w:pPr>
      <w:r>
        <w:rPr>
          <w:rFonts w:ascii="Times New Roman" w:hAnsi="Times New Roman"/>
          <w:color w:val="auto"/>
          <w:highlight w:val="none"/>
        </w:rPr>
        <w:t>(</w:t>
      </w:r>
      <w:r>
        <w:rPr>
          <w:rFonts w:hint="eastAsia" w:ascii="Times New Roman" w:hAnsi="Times New Roman"/>
          <w:color w:val="auto"/>
          <w:highlight w:val="none"/>
        </w:rPr>
        <w:t>示例略</w:t>
      </w:r>
      <w:r>
        <w:rPr>
          <w:rFonts w:ascii="Times New Roman" w:hAnsi="Times New Roman"/>
          <w:color w:val="auto"/>
          <w:highlight w:val="none"/>
        </w:rPr>
        <w:t>)</w:t>
      </w:r>
    </w:p>
    <w:p>
      <w:pPr>
        <w:pStyle w:val="16"/>
        <w:spacing w:line="360" w:lineRule="auto"/>
        <w:ind w:firstLine="420" w:firstLineChars="200"/>
        <w:rPr>
          <w:rFonts w:hAnsi="宋体" w:cs="宋体"/>
          <w:color w:val="auto"/>
          <w:highlight w:val="none"/>
        </w:rPr>
      </w:pPr>
    </w:p>
    <w:p>
      <w:pPr>
        <w:adjustRightInd w:val="0"/>
        <w:snapToGrid w:val="0"/>
        <w:spacing w:line="360" w:lineRule="auto"/>
        <w:rPr>
          <w:rFonts w:ascii="宋体" w:hAnsi="宋体" w:cs="宋体"/>
          <w:bCs/>
          <w:color w:val="auto"/>
          <w:sz w:val="24"/>
          <w:highlight w:val="none"/>
        </w:rPr>
      </w:pPr>
    </w:p>
    <w:p>
      <w:pPr>
        <w:adjustRightInd w:val="0"/>
        <w:snapToGrid w:val="0"/>
        <w:spacing w:line="360" w:lineRule="auto"/>
        <w:rPr>
          <w:rFonts w:ascii="宋体" w:hAnsi="宋体" w:cs="宋体"/>
          <w:bCs/>
          <w:color w:val="auto"/>
          <w:sz w:val="24"/>
          <w:highlight w:val="none"/>
        </w:rPr>
      </w:pPr>
    </w:p>
    <w:p>
      <w:pPr>
        <w:adjustRightInd w:val="0"/>
        <w:snapToGrid w:val="0"/>
        <w:spacing w:line="360" w:lineRule="auto"/>
        <w:outlineLvl w:val="2"/>
        <w:rPr>
          <w:rFonts w:ascii="宋体" w:hAnsi="宋体" w:cs="宋体"/>
          <w:bCs/>
          <w:color w:val="auto"/>
          <w:sz w:val="24"/>
          <w:highlight w:val="none"/>
        </w:rPr>
        <w:sectPr>
          <w:headerReference r:id="rId23" w:type="first"/>
          <w:pgSz w:w="11906" w:h="16838"/>
          <w:pgMar w:top="1247" w:right="1247" w:bottom="1247" w:left="1247" w:header="851" w:footer="850" w:gutter="0"/>
          <w:cols w:space="720" w:num="1"/>
          <w:titlePg/>
          <w:docGrid w:type="lines" w:linePitch="326" w:charSpace="0"/>
        </w:sectPr>
      </w:pPr>
    </w:p>
    <w:p>
      <w:pPr>
        <w:pStyle w:val="16"/>
        <w:rPr>
          <w:rFonts w:ascii="Times New Roman" w:hAnsi="Times New Roman" w:eastAsia="MingLiU_HKSCS"/>
          <w:color w:val="auto"/>
          <w:highlight w:val="none"/>
        </w:rPr>
      </w:pPr>
      <w:r>
        <w:rPr>
          <w:rFonts w:hint="eastAsia" w:ascii="Times New Roman" w:hAnsi="Times New Roman"/>
          <w:color w:val="auto"/>
          <w:highlight w:val="none"/>
        </w:rPr>
        <w:t>附件3－</w:t>
      </w:r>
      <w:r>
        <w:rPr>
          <w:rFonts w:ascii="Times New Roman" w:hAnsi="Times New Roman"/>
          <w:color w:val="auto"/>
          <w:highlight w:val="none"/>
        </w:rPr>
        <w:t>5</w:t>
      </w:r>
    </w:p>
    <w:p>
      <w:pPr>
        <w:pStyle w:val="16"/>
        <w:ind w:firstLine="482" w:firstLineChars="200"/>
        <w:jc w:val="center"/>
        <w:rPr>
          <w:rFonts w:ascii="Times New Roman" w:hAnsi="Times New Roman"/>
          <w:b/>
          <w:bCs/>
          <w:color w:val="auto"/>
          <w:sz w:val="24"/>
          <w:szCs w:val="24"/>
          <w:highlight w:val="none"/>
        </w:rPr>
      </w:pPr>
    </w:p>
    <w:p>
      <w:pPr>
        <w:pStyle w:val="16"/>
        <w:ind w:firstLine="482" w:firstLineChars="200"/>
        <w:jc w:val="center"/>
        <w:rPr>
          <w:rFonts w:ascii="Times New Roman" w:hAnsi="Times New Roman" w:eastAsia="MingLiU_HKSCS"/>
          <w:b/>
          <w:bCs/>
          <w:color w:val="auto"/>
          <w:sz w:val="24"/>
          <w:szCs w:val="24"/>
          <w:highlight w:val="none"/>
        </w:rPr>
      </w:pPr>
      <w:r>
        <w:rPr>
          <w:rFonts w:hint="eastAsia" w:ascii="Times New Roman" w:hAnsi="Times New Roman"/>
          <w:b/>
          <w:bCs/>
          <w:color w:val="auto"/>
          <w:sz w:val="24"/>
          <w:szCs w:val="24"/>
          <w:highlight w:val="none"/>
        </w:rPr>
        <w:t>参加采购活动前三年内在经营活动中</w:t>
      </w:r>
    </w:p>
    <w:p>
      <w:pPr>
        <w:pStyle w:val="16"/>
        <w:ind w:firstLine="482" w:firstLineChars="200"/>
        <w:jc w:val="center"/>
        <w:rPr>
          <w:rFonts w:ascii="Times New Roman" w:hAnsi="Times New Roman"/>
          <w:b/>
          <w:bCs/>
          <w:color w:val="auto"/>
          <w:sz w:val="24"/>
          <w:szCs w:val="24"/>
          <w:highlight w:val="none"/>
        </w:rPr>
      </w:pPr>
      <w:r>
        <w:rPr>
          <w:rFonts w:hint="eastAsia" w:ascii="Times New Roman" w:hAnsi="Times New Roman"/>
          <w:b/>
          <w:bCs/>
          <w:color w:val="auto"/>
          <w:sz w:val="24"/>
          <w:szCs w:val="24"/>
          <w:highlight w:val="none"/>
        </w:rPr>
        <w:t>没有重大违法记录的书面声明</w:t>
      </w:r>
    </w:p>
    <w:p>
      <w:pPr>
        <w:pStyle w:val="16"/>
        <w:spacing w:line="360" w:lineRule="auto"/>
        <w:rPr>
          <w:rFonts w:ascii="Times New Roman" w:hAnsi="Times New Roman"/>
          <w:color w:val="auto"/>
          <w:highlight w:val="none"/>
        </w:rPr>
      </w:pPr>
    </w:p>
    <w:p>
      <w:pPr>
        <w:pStyle w:val="16"/>
        <w:spacing w:line="360" w:lineRule="auto"/>
        <w:rPr>
          <w:rFonts w:ascii="Times New Roman" w:hAnsi="Times New Roman" w:eastAsia="MingLiU_HKSCS"/>
          <w:color w:val="auto"/>
          <w:highlight w:val="none"/>
        </w:rPr>
      </w:pPr>
      <w:r>
        <w:rPr>
          <w:rFonts w:hint="eastAsia" w:ascii="Times New Roman" w:hAnsi="Times New Roman"/>
          <w:color w:val="auto"/>
          <w:highlight w:val="none"/>
        </w:rPr>
        <w:t>本单位郑重声明：</w:t>
      </w:r>
    </w:p>
    <w:p>
      <w:pPr>
        <w:pStyle w:val="16"/>
        <w:spacing w:line="360" w:lineRule="auto"/>
        <w:ind w:firstLine="420" w:firstLineChars="200"/>
        <w:rPr>
          <w:rFonts w:ascii="Times New Roman" w:hAnsi="Times New Roman" w:eastAsia="MingLiU_HKSCS"/>
          <w:color w:val="auto"/>
          <w:highlight w:val="none"/>
        </w:rPr>
      </w:pPr>
      <w:r>
        <w:rPr>
          <w:rFonts w:hint="eastAsia" w:ascii="Times New Roman" w:hAnsi="Times New Roman"/>
          <w:color w:val="auto"/>
          <w:highlight w:val="none"/>
        </w:rPr>
        <w:t>我单位在参加采购活动前三年内在经营活动中没有以下重大违法记录：</w:t>
      </w:r>
    </w:p>
    <w:p>
      <w:pPr>
        <w:pStyle w:val="16"/>
        <w:spacing w:line="360" w:lineRule="auto"/>
        <w:ind w:firstLine="420" w:firstLineChars="200"/>
        <w:rPr>
          <w:rFonts w:ascii="Times New Roman" w:hAnsi="Times New Roman" w:eastAsia="MingLiU_HKSCS"/>
          <w:color w:val="auto"/>
          <w:highlight w:val="none"/>
        </w:rPr>
      </w:pPr>
      <w:r>
        <w:rPr>
          <w:rFonts w:hint="eastAsia" w:ascii="Times New Roman" w:hAnsi="Times New Roman"/>
          <w:color w:val="auto"/>
          <w:highlight w:val="none"/>
        </w:rPr>
        <w:t>我单位或者其法定代表人、董事、监事、高级管理人员未因经营活动中的违法行为受到刑事处罚或者责令停产停业、吊销许可证或者执照、较大数额罚款等行政处罚。</w:t>
      </w:r>
    </w:p>
    <w:p>
      <w:pPr>
        <w:pStyle w:val="16"/>
        <w:spacing w:line="360" w:lineRule="auto"/>
        <w:ind w:firstLine="420" w:firstLineChars="200"/>
        <w:rPr>
          <w:rFonts w:ascii="Times New Roman" w:hAnsi="Times New Roman" w:eastAsia="MingLiU_HKSCS"/>
          <w:color w:val="auto"/>
          <w:highlight w:val="none"/>
        </w:rPr>
      </w:pPr>
      <w:r>
        <w:rPr>
          <w:rFonts w:hint="eastAsia" w:ascii="Times New Roman" w:hAnsi="Times New Roman"/>
          <w:color w:val="auto"/>
          <w:highlight w:val="none"/>
        </w:rPr>
        <w:t>特此声明！</w:t>
      </w:r>
    </w:p>
    <w:p>
      <w:pPr>
        <w:pStyle w:val="16"/>
        <w:spacing w:line="360" w:lineRule="auto"/>
        <w:ind w:firstLine="420" w:firstLineChars="200"/>
        <w:rPr>
          <w:rFonts w:ascii="Times New Roman" w:hAnsi="Times New Roman" w:eastAsia="MingLiU_HKSCS"/>
          <w:color w:val="auto"/>
          <w:highlight w:val="none"/>
        </w:rPr>
      </w:pPr>
    </w:p>
    <w:p>
      <w:pPr>
        <w:adjustRightInd w:val="0"/>
        <w:snapToGrid w:val="0"/>
        <w:spacing w:line="360" w:lineRule="auto"/>
        <w:ind w:right="420" w:firstLine="420" w:firstLineChars="200"/>
        <w:rPr>
          <w:rFonts w:ascii="宋体" w:hAnsi="宋体"/>
          <w:color w:val="auto"/>
          <w:szCs w:val="21"/>
          <w:highlight w:val="none"/>
        </w:rPr>
      </w:pPr>
    </w:p>
    <w:p>
      <w:pPr>
        <w:adjustRightInd w:val="0"/>
        <w:snapToGrid w:val="0"/>
        <w:spacing w:line="360" w:lineRule="auto"/>
        <w:ind w:right="420" w:firstLine="420" w:firstLineChars="200"/>
        <w:rPr>
          <w:rFonts w:hAnsi="宋体" w:cs="宋体"/>
          <w:color w:val="auto"/>
          <w:highlight w:val="none"/>
        </w:rPr>
      </w:pPr>
      <w:r>
        <w:rPr>
          <w:rFonts w:hint="eastAsia" w:ascii="宋体" w:hAnsi="宋体"/>
          <w:color w:val="auto"/>
          <w:szCs w:val="21"/>
          <w:highlight w:val="none"/>
        </w:rPr>
        <w:t>供应商名称（盖单位公章）：</w:t>
      </w:r>
      <w:r>
        <w:rPr>
          <w:rFonts w:hint="eastAsia" w:hAnsi="宋体" w:cs="宋体"/>
          <w:color w:val="auto"/>
          <w:highlight w:val="none"/>
        </w:rPr>
        <w:t>________________</w:t>
      </w:r>
    </w:p>
    <w:p>
      <w:pPr>
        <w:pStyle w:val="16"/>
        <w:spacing w:line="360" w:lineRule="auto"/>
        <w:ind w:firstLine="420" w:firstLineChars="200"/>
        <w:rPr>
          <w:rFonts w:ascii="Times New Roman" w:hAnsi="Times New Roman" w:eastAsia="MingLiU_HKSCS"/>
          <w:color w:val="auto"/>
          <w:highlight w:val="none"/>
        </w:rPr>
      </w:pPr>
      <w:r>
        <w:rPr>
          <w:rFonts w:hint="eastAsia" w:ascii="Times New Roman" w:hAnsi="Times New Roman"/>
          <w:color w:val="auto"/>
          <w:highlight w:val="none"/>
        </w:rPr>
        <w:t>法定代表人或其授权代表</w:t>
      </w:r>
      <w:r>
        <w:rPr>
          <w:rFonts w:ascii="Times New Roman" w:hAnsi="Times New Roman"/>
          <w:color w:val="auto"/>
          <w:highlight w:val="none"/>
        </w:rPr>
        <w:t>(</w:t>
      </w:r>
      <w:r>
        <w:rPr>
          <w:rFonts w:hint="eastAsia" w:ascii="Times New Roman" w:hAnsi="Times New Roman"/>
          <w:color w:val="auto"/>
          <w:highlight w:val="none"/>
        </w:rPr>
        <w:t>签字或盖章</w:t>
      </w:r>
      <w:r>
        <w:rPr>
          <w:rFonts w:ascii="Times New Roman" w:hAnsi="Times New Roman"/>
          <w:color w:val="auto"/>
          <w:highlight w:val="none"/>
        </w:rPr>
        <w:t>)</w:t>
      </w:r>
      <w:r>
        <w:rPr>
          <w:rFonts w:hint="eastAsia" w:ascii="Times New Roman" w:hAnsi="Times New Roman"/>
          <w:color w:val="auto"/>
          <w:highlight w:val="none"/>
        </w:rPr>
        <w:t>：</w:t>
      </w:r>
      <w:r>
        <w:rPr>
          <w:rFonts w:ascii="Times New Roman" w:hAnsi="Times New Roman"/>
          <w:color w:val="auto"/>
          <w:highlight w:val="none"/>
        </w:rPr>
        <w:t>____________</w:t>
      </w:r>
    </w:p>
    <w:p>
      <w:pPr>
        <w:pStyle w:val="16"/>
        <w:spacing w:line="360" w:lineRule="auto"/>
        <w:ind w:firstLine="420" w:firstLineChars="200"/>
        <w:rPr>
          <w:rFonts w:ascii="Times New Roman" w:hAnsi="Times New Roman" w:eastAsia="MingLiU_HKSCS"/>
          <w:color w:val="auto"/>
          <w:highlight w:val="none"/>
        </w:rPr>
      </w:pPr>
      <w:r>
        <w:rPr>
          <w:rFonts w:hint="eastAsia" w:ascii="Times New Roman" w:hAnsi="Times New Roman"/>
          <w:color w:val="auto"/>
          <w:highlight w:val="none"/>
        </w:rPr>
        <w:t>日期：</w:t>
      </w:r>
      <w:r>
        <w:rPr>
          <w:rFonts w:ascii="Times New Roman" w:hAnsi="Times New Roman"/>
          <w:color w:val="auto"/>
          <w:highlight w:val="none"/>
        </w:rPr>
        <w:t>______</w:t>
      </w:r>
      <w:r>
        <w:rPr>
          <w:rFonts w:hint="eastAsia" w:ascii="Times New Roman" w:hAnsi="Times New Roman"/>
          <w:color w:val="auto"/>
          <w:highlight w:val="none"/>
        </w:rPr>
        <w:t>年</w:t>
      </w:r>
      <w:r>
        <w:rPr>
          <w:rFonts w:ascii="Times New Roman" w:hAnsi="Times New Roman"/>
          <w:color w:val="auto"/>
          <w:highlight w:val="none"/>
        </w:rPr>
        <w:t>____</w:t>
      </w:r>
      <w:r>
        <w:rPr>
          <w:rFonts w:hint="eastAsia" w:ascii="Times New Roman" w:hAnsi="Times New Roman"/>
          <w:color w:val="auto"/>
          <w:highlight w:val="none"/>
        </w:rPr>
        <w:t>月</w:t>
      </w:r>
      <w:r>
        <w:rPr>
          <w:rFonts w:ascii="Times New Roman" w:hAnsi="Times New Roman"/>
          <w:color w:val="auto"/>
          <w:highlight w:val="none"/>
        </w:rPr>
        <w:t>____</w:t>
      </w:r>
      <w:r>
        <w:rPr>
          <w:rFonts w:hint="eastAsia" w:ascii="Times New Roman" w:hAnsi="Times New Roman"/>
          <w:color w:val="auto"/>
          <w:highlight w:val="none"/>
        </w:rPr>
        <w:t>日</w:t>
      </w:r>
    </w:p>
    <w:p>
      <w:pPr>
        <w:adjustRightInd w:val="0"/>
        <w:snapToGrid w:val="0"/>
        <w:spacing w:line="360" w:lineRule="auto"/>
        <w:ind w:right="24"/>
        <w:rPr>
          <w:rFonts w:ascii="宋体" w:hAnsi="宋体" w:cs="宋体"/>
          <w:bCs/>
          <w:color w:val="auto"/>
          <w:szCs w:val="21"/>
          <w:highlight w:val="none"/>
        </w:rPr>
      </w:pPr>
    </w:p>
    <w:p>
      <w:pPr>
        <w:pStyle w:val="40"/>
        <w:rPr>
          <w:rFonts w:ascii="宋体" w:hAnsi="宋体" w:cs="宋体"/>
          <w:bCs/>
          <w:color w:val="auto"/>
          <w:szCs w:val="21"/>
          <w:highlight w:val="none"/>
        </w:rPr>
      </w:pPr>
    </w:p>
    <w:p>
      <w:pPr>
        <w:pStyle w:val="40"/>
        <w:rPr>
          <w:rFonts w:ascii="宋体" w:hAnsi="宋体" w:cs="宋体"/>
          <w:bCs/>
          <w:color w:val="auto"/>
          <w:szCs w:val="21"/>
          <w:highlight w:val="none"/>
        </w:rPr>
      </w:pPr>
    </w:p>
    <w:p>
      <w:pPr>
        <w:pStyle w:val="40"/>
        <w:rPr>
          <w:rFonts w:ascii="宋体" w:hAnsi="宋体" w:cs="宋体"/>
          <w:bCs/>
          <w:color w:val="auto"/>
          <w:szCs w:val="21"/>
          <w:highlight w:val="none"/>
        </w:rPr>
      </w:pPr>
    </w:p>
    <w:p>
      <w:pPr>
        <w:pStyle w:val="40"/>
        <w:rPr>
          <w:rFonts w:ascii="宋体" w:hAnsi="宋体" w:cs="宋体"/>
          <w:bCs/>
          <w:color w:val="auto"/>
          <w:szCs w:val="21"/>
          <w:highlight w:val="none"/>
        </w:rPr>
      </w:pPr>
    </w:p>
    <w:p>
      <w:pPr>
        <w:pStyle w:val="40"/>
        <w:rPr>
          <w:rFonts w:ascii="宋体" w:hAnsi="宋体" w:cs="宋体"/>
          <w:bCs/>
          <w:color w:val="auto"/>
          <w:szCs w:val="21"/>
          <w:highlight w:val="none"/>
        </w:rPr>
      </w:pPr>
    </w:p>
    <w:p>
      <w:pPr>
        <w:pStyle w:val="40"/>
        <w:rPr>
          <w:rFonts w:ascii="宋体" w:hAnsi="宋体" w:cs="宋体"/>
          <w:bCs/>
          <w:color w:val="auto"/>
          <w:szCs w:val="21"/>
          <w:highlight w:val="none"/>
        </w:rPr>
      </w:pPr>
    </w:p>
    <w:p>
      <w:pPr>
        <w:pStyle w:val="16"/>
        <w:spacing w:line="360" w:lineRule="auto"/>
        <w:ind w:firstLine="422" w:firstLineChars="200"/>
        <w:rPr>
          <w:rFonts w:ascii="Times New Roman" w:hAnsi="Times New Roman"/>
          <w:b/>
          <w:bCs/>
          <w:color w:val="auto"/>
          <w:highlight w:val="none"/>
        </w:rPr>
      </w:pPr>
    </w:p>
    <w:p>
      <w:pPr>
        <w:pStyle w:val="16"/>
        <w:spacing w:line="360" w:lineRule="auto"/>
        <w:ind w:firstLine="422" w:firstLineChars="200"/>
        <w:rPr>
          <w:rFonts w:ascii="Times New Roman" w:hAnsi="Times New Roman"/>
          <w:b/>
          <w:bCs/>
          <w:color w:val="auto"/>
          <w:highlight w:val="none"/>
        </w:rPr>
      </w:pPr>
      <w:r>
        <w:rPr>
          <w:rFonts w:hint="eastAsia" w:ascii="Times New Roman" w:hAnsi="Times New Roman"/>
          <w:b/>
          <w:bCs/>
          <w:color w:val="auto"/>
          <w:highlight w:val="none"/>
        </w:rPr>
        <w:t>附件3－6供应商特定资格条件的证明材料</w:t>
      </w:r>
    </w:p>
    <w:p>
      <w:pPr>
        <w:pStyle w:val="16"/>
        <w:spacing w:line="360" w:lineRule="auto"/>
        <w:ind w:firstLine="422" w:firstLineChars="200"/>
        <w:rPr>
          <w:rFonts w:ascii="Times New Roman" w:hAnsi="Times New Roman"/>
          <w:b/>
          <w:bCs/>
          <w:color w:val="auto"/>
          <w:highlight w:val="none"/>
        </w:rPr>
      </w:pPr>
    </w:p>
    <w:p>
      <w:pPr>
        <w:pStyle w:val="16"/>
        <w:spacing w:line="360" w:lineRule="auto"/>
        <w:ind w:firstLine="422" w:firstLineChars="200"/>
        <w:rPr>
          <w:rFonts w:ascii="Times New Roman" w:hAnsi="Times New Roman"/>
          <w:b/>
          <w:bCs/>
          <w:color w:val="auto"/>
          <w:highlight w:val="none"/>
        </w:rPr>
      </w:pPr>
    </w:p>
    <w:p>
      <w:pPr>
        <w:pStyle w:val="16"/>
        <w:spacing w:line="360" w:lineRule="auto"/>
        <w:ind w:firstLine="422" w:firstLineChars="200"/>
        <w:rPr>
          <w:rFonts w:ascii="Times New Roman" w:hAnsi="Times New Roman"/>
          <w:b/>
          <w:bCs/>
          <w:color w:val="auto"/>
          <w:highlight w:val="none"/>
        </w:rPr>
      </w:pPr>
    </w:p>
    <w:p>
      <w:pPr>
        <w:pStyle w:val="16"/>
        <w:spacing w:line="360" w:lineRule="auto"/>
        <w:ind w:firstLine="422" w:firstLineChars="200"/>
        <w:rPr>
          <w:rFonts w:ascii="Times New Roman" w:hAnsi="Times New Roman"/>
          <w:b/>
          <w:bCs/>
          <w:color w:val="auto"/>
          <w:highlight w:val="none"/>
        </w:rPr>
      </w:pPr>
      <w:r>
        <w:rPr>
          <w:rFonts w:hint="eastAsia" w:ascii="Times New Roman" w:hAnsi="Times New Roman"/>
          <w:b/>
          <w:bCs/>
          <w:color w:val="auto"/>
          <w:highlight w:val="none"/>
        </w:rPr>
        <w:t>附件3－7法律、行政法规规定的其他条件</w:t>
      </w: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pStyle w:val="16"/>
        <w:spacing w:line="360" w:lineRule="auto"/>
        <w:ind w:firstLine="422" w:firstLineChars="200"/>
        <w:rPr>
          <w:rFonts w:hAnsi="宋体" w:cs="宋体"/>
          <w:b/>
          <w:bCs/>
          <w:color w:val="auto"/>
          <w:highlight w:val="none"/>
        </w:rPr>
      </w:pPr>
    </w:p>
    <w:p>
      <w:pPr>
        <w:adjustRightInd w:val="0"/>
        <w:snapToGrid w:val="0"/>
        <w:spacing w:line="360" w:lineRule="auto"/>
        <w:rPr>
          <w:rFonts w:ascii="宋体"/>
          <w:bCs/>
          <w:color w:val="auto"/>
          <w:sz w:val="24"/>
          <w:highlight w:val="none"/>
        </w:rPr>
      </w:pPr>
    </w:p>
    <w:p>
      <w:pPr>
        <w:tabs>
          <w:tab w:val="left" w:pos="2164"/>
        </w:tabs>
        <w:jc w:val="left"/>
        <w:rPr>
          <w:color w:val="auto"/>
          <w:highlight w:val="none"/>
        </w:rPr>
        <w:sectPr>
          <w:footerReference r:id="rId25" w:type="first"/>
          <w:footerReference r:id="rId24"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outlineLvl w:val="1"/>
        <w:rPr>
          <w:rFonts w:ascii="宋体" w:hAnsi="宋体" w:cs="宋体"/>
          <w:bCs/>
          <w:color w:val="auto"/>
          <w:szCs w:val="21"/>
          <w:highlight w:val="none"/>
        </w:rPr>
      </w:pPr>
      <w:bookmarkStart w:id="89" w:name="_Toc8061016"/>
      <w:bookmarkStart w:id="90" w:name="_Toc8033"/>
      <w:r>
        <w:rPr>
          <w:rFonts w:hint="eastAsia" w:ascii="宋体" w:hAnsi="宋体" w:cs="宋体"/>
          <w:bCs/>
          <w:color w:val="auto"/>
          <w:szCs w:val="21"/>
          <w:highlight w:val="none"/>
        </w:rPr>
        <w:t>格式5、商务、技术条款偏离表</w:t>
      </w:r>
      <w:bookmarkEnd w:id="89"/>
      <w:bookmarkEnd w:id="90"/>
    </w:p>
    <w:p>
      <w:pPr>
        <w:adjustRightInd w:val="0"/>
        <w:snapToGrid w:val="0"/>
        <w:spacing w:line="360" w:lineRule="auto"/>
        <w:ind w:right="24"/>
        <w:jc w:val="center"/>
        <w:rPr>
          <w:rFonts w:ascii="黑体" w:hAnsi="宋体" w:eastAsia="黑体"/>
          <w:b/>
          <w:color w:val="auto"/>
          <w:sz w:val="28"/>
          <w:szCs w:val="28"/>
          <w:highlight w:val="none"/>
        </w:rPr>
      </w:pPr>
    </w:p>
    <w:p>
      <w:pPr>
        <w:adjustRightInd w:val="0"/>
        <w:snapToGrid w:val="0"/>
        <w:spacing w:line="360" w:lineRule="auto"/>
        <w:ind w:right="24"/>
        <w:jc w:val="center"/>
        <w:rPr>
          <w:rFonts w:ascii="黑体" w:hAnsi="宋体" w:eastAsia="黑体"/>
          <w:b/>
          <w:color w:val="auto"/>
          <w:sz w:val="28"/>
          <w:szCs w:val="28"/>
          <w:highlight w:val="none"/>
        </w:rPr>
      </w:pPr>
      <w:r>
        <w:rPr>
          <w:rFonts w:hint="eastAsia" w:ascii="黑体" w:hAnsi="宋体" w:eastAsia="黑体"/>
          <w:b/>
          <w:color w:val="auto"/>
          <w:sz w:val="28"/>
          <w:szCs w:val="28"/>
          <w:highlight w:val="none"/>
        </w:rPr>
        <w:t>商务、技术条款响应与偏离表</w:t>
      </w:r>
    </w:p>
    <w:p>
      <w:pPr>
        <w:pStyle w:val="16"/>
        <w:ind w:firstLine="420" w:firstLineChars="200"/>
        <w:rPr>
          <w:rFonts w:hAnsi="宋体" w:cs="宋体"/>
          <w:color w:val="auto"/>
          <w:highlight w:val="none"/>
        </w:rPr>
      </w:pPr>
      <w:r>
        <w:rPr>
          <w:rFonts w:hint="eastAsia" w:hAnsi="宋体" w:cs="宋体"/>
          <w:color w:val="auto"/>
          <w:highlight w:val="none"/>
        </w:rPr>
        <w:t>项目名称：</w:t>
      </w:r>
    </w:p>
    <w:tbl>
      <w:tblPr>
        <w:tblStyle w:val="33"/>
        <w:tblW w:w="96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995"/>
        <w:gridCol w:w="1655"/>
        <w:gridCol w:w="2650"/>
        <w:gridCol w:w="1470"/>
        <w:gridCol w:w="9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序号</w:t>
            </w:r>
          </w:p>
        </w:tc>
        <w:tc>
          <w:tcPr>
            <w:tcW w:w="199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采购文件条目号</w:t>
            </w:r>
          </w:p>
        </w:tc>
        <w:tc>
          <w:tcPr>
            <w:tcW w:w="1655"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商务、技术条款</w:t>
            </w:r>
          </w:p>
        </w:tc>
        <w:tc>
          <w:tcPr>
            <w:tcW w:w="2650"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响应文件的商务、技术条款</w:t>
            </w:r>
          </w:p>
        </w:tc>
        <w:tc>
          <w:tcPr>
            <w:tcW w:w="1470"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响应与偏离</w:t>
            </w:r>
          </w:p>
        </w:tc>
        <w:tc>
          <w:tcPr>
            <w:tcW w:w="930" w:type="dxa"/>
            <w:tcBorders>
              <w:tl2br w:val="nil"/>
              <w:tr2bl w:val="nil"/>
            </w:tcBorders>
            <w:vAlign w:val="center"/>
          </w:tcPr>
          <w:p>
            <w:pPr>
              <w:pStyle w:val="16"/>
              <w:jc w:val="center"/>
              <w:rPr>
                <w:rFonts w:hAnsi="宋体" w:cs="宋体"/>
                <w:color w:val="auto"/>
                <w:szCs w:val="21"/>
                <w:highlight w:val="none"/>
              </w:rPr>
            </w:pPr>
            <w:r>
              <w:rPr>
                <w:rFonts w:hint="eastAsia" w:hAnsi="宋体" w:cs="宋体"/>
                <w:color w:val="auto"/>
                <w:szCs w:val="21"/>
                <w:highlight w:val="none"/>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 w:type="dxa"/>
            <w:tcBorders>
              <w:tl2br w:val="nil"/>
              <w:tr2bl w:val="nil"/>
            </w:tcBorders>
            <w:vAlign w:val="center"/>
          </w:tcPr>
          <w:p>
            <w:pPr>
              <w:pStyle w:val="16"/>
              <w:jc w:val="center"/>
              <w:rPr>
                <w:rFonts w:hAnsi="宋体" w:cs="宋体"/>
                <w:color w:val="auto"/>
                <w:szCs w:val="21"/>
                <w:highlight w:val="none"/>
              </w:rPr>
            </w:pPr>
          </w:p>
        </w:tc>
        <w:tc>
          <w:tcPr>
            <w:tcW w:w="1995" w:type="dxa"/>
            <w:tcBorders>
              <w:tl2br w:val="nil"/>
              <w:tr2bl w:val="nil"/>
            </w:tcBorders>
            <w:vAlign w:val="center"/>
          </w:tcPr>
          <w:p>
            <w:pPr>
              <w:pStyle w:val="16"/>
              <w:jc w:val="center"/>
              <w:rPr>
                <w:rFonts w:hAnsi="宋体" w:cs="宋体"/>
                <w:color w:val="auto"/>
                <w:szCs w:val="21"/>
                <w:highlight w:val="none"/>
              </w:rPr>
            </w:pPr>
          </w:p>
        </w:tc>
        <w:tc>
          <w:tcPr>
            <w:tcW w:w="1655" w:type="dxa"/>
            <w:tcBorders>
              <w:tl2br w:val="nil"/>
              <w:tr2bl w:val="nil"/>
            </w:tcBorders>
            <w:vAlign w:val="center"/>
          </w:tcPr>
          <w:p>
            <w:pPr>
              <w:pStyle w:val="16"/>
              <w:jc w:val="center"/>
              <w:rPr>
                <w:rFonts w:hAnsi="宋体" w:cs="宋体"/>
                <w:color w:val="auto"/>
                <w:szCs w:val="21"/>
                <w:highlight w:val="none"/>
              </w:rPr>
            </w:pPr>
          </w:p>
        </w:tc>
        <w:tc>
          <w:tcPr>
            <w:tcW w:w="2650" w:type="dxa"/>
            <w:tcBorders>
              <w:tl2br w:val="nil"/>
              <w:tr2bl w:val="nil"/>
            </w:tcBorders>
            <w:vAlign w:val="center"/>
          </w:tcPr>
          <w:p>
            <w:pPr>
              <w:pStyle w:val="16"/>
              <w:jc w:val="center"/>
              <w:rPr>
                <w:rFonts w:hAnsi="宋体" w:cs="宋体"/>
                <w:color w:val="auto"/>
                <w:szCs w:val="21"/>
                <w:highlight w:val="none"/>
              </w:rPr>
            </w:pPr>
          </w:p>
        </w:tc>
        <w:tc>
          <w:tcPr>
            <w:tcW w:w="1470" w:type="dxa"/>
            <w:tcBorders>
              <w:tl2br w:val="nil"/>
              <w:tr2bl w:val="nil"/>
            </w:tcBorders>
            <w:vAlign w:val="center"/>
          </w:tcPr>
          <w:p>
            <w:pPr>
              <w:pStyle w:val="16"/>
              <w:jc w:val="center"/>
              <w:rPr>
                <w:rFonts w:hAnsi="宋体" w:cs="宋体"/>
                <w:color w:val="auto"/>
                <w:szCs w:val="21"/>
                <w:highlight w:val="none"/>
              </w:rPr>
            </w:pPr>
          </w:p>
        </w:tc>
        <w:tc>
          <w:tcPr>
            <w:tcW w:w="930"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 w:type="dxa"/>
            <w:tcBorders>
              <w:tl2br w:val="nil"/>
              <w:tr2bl w:val="nil"/>
            </w:tcBorders>
            <w:vAlign w:val="center"/>
          </w:tcPr>
          <w:p>
            <w:pPr>
              <w:pStyle w:val="16"/>
              <w:jc w:val="center"/>
              <w:rPr>
                <w:rFonts w:hAnsi="宋体" w:cs="宋体"/>
                <w:color w:val="auto"/>
                <w:szCs w:val="21"/>
                <w:highlight w:val="none"/>
              </w:rPr>
            </w:pPr>
          </w:p>
        </w:tc>
        <w:tc>
          <w:tcPr>
            <w:tcW w:w="1995" w:type="dxa"/>
            <w:tcBorders>
              <w:tl2br w:val="nil"/>
              <w:tr2bl w:val="nil"/>
            </w:tcBorders>
            <w:vAlign w:val="center"/>
          </w:tcPr>
          <w:p>
            <w:pPr>
              <w:pStyle w:val="16"/>
              <w:jc w:val="center"/>
              <w:rPr>
                <w:rFonts w:hAnsi="宋体" w:cs="宋体"/>
                <w:color w:val="auto"/>
                <w:szCs w:val="21"/>
                <w:highlight w:val="none"/>
              </w:rPr>
            </w:pPr>
          </w:p>
        </w:tc>
        <w:tc>
          <w:tcPr>
            <w:tcW w:w="1655" w:type="dxa"/>
            <w:tcBorders>
              <w:tl2br w:val="nil"/>
              <w:tr2bl w:val="nil"/>
            </w:tcBorders>
            <w:vAlign w:val="center"/>
          </w:tcPr>
          <w:p>
            <w:pPr>
              <w:pStyle w:val="16"/>
              <w:jc w:val="center"/>
              <w:rPr>
                <w:rFonts w:hAnsi="宋体" w:cs="宋体"/>
                <w:color w:val="auto"/>
                <w:szCs w:val="21"/>
                <w:highlight w:val="none"/>
              </w:rPr>
            </w:pPr>
          </w:p>
        </w:tc>
        <w:tc>
          <w:tcPr>
            <w:tcW w:w="2650" w:type="dxa"/>
            <w:tcBorders>
              <w:tl2br w:val="nil"/>
              <w:tr2bl w:val="nil"/>
            </w:tcBorders>
            <w:vAlign w:val="center"/>
          </w:tcPr>
          <w:p>
            <w:pPr>
              <w:pStyle w:val="16"/>
              <w:jc w:val="center"/>
              <w:rPr>
                <w:rFonts w:hAnsi="宋体" w:cs="宋体"/>
                <w:color w:val="auto"/>
                <w:szCs w:val="21"/>
                <w:highlight w:val="none"/>
              </w:rPr>
            </w:pPr>
          </w:p>
        </w:tc>
        <w:tc>
          <w:tcPr>
            <w:tcW w:w="1470" w:type="dxa"/>
            <w:tcBorders>
              <w:tl2br w:val="nil"/>
              <w:tr2bl w:val="nil"/>
            </w:tcBorders>
            <w:vAlign w:val="center"/>
          </w:tcPr>
          <w:p>
            <w:pPr>
              <w:pStyle w:val="16"/>
              <w:jc w:val="center"/>
              <w:rPr>
                <w:rFonts w:hAnsi="宋体" w:cs="宋体"/>
                <w:color w:val="auto"/>
                <w:szCs w:val="21"/>
                <w:highlight w:val="none"/>
              </w:rPr>
            </w:pPr>
          </w:p>
        </w:tc>
        <w:tc>
          <w:tcPr>
            <w:tcW w:w="930"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 w:type="dxa"/>
            <w:tcBorders>
              <w:tl2br w:val="nil"/>
              <w:tr2bl w:val="nil"/>
            </w:tcBorders>
            <w:vAlign w:val="center"/>
          </w:tcPr>
          <w:p>
            <w:pPr>
              <w:pStyle w:val="16"/>
              <w:jc w:val="center"/>
              <w:rPr>
                <w:rFonts w:hAnsi="宋体" w:cs="宋体"/>
                <w:color w:val="auto"/>
                <w:szCs w:val="21"/>
                <w:highlight w:val="none"/>
              </w:rPr>
            </w:pPr>
          </w:p>
        </w:tc>
        <w:tc>
          <w:tcPr>
            <w:tcW w:w="1995" w:type="dxa"/>
            <w:tcBorders>
              <w:tl2br w:val="nil"/>
              <w:tr2bl w:val="nil"/>
            </w:tcBorders>
            <w:vAlign w:val="center"/>
          </w:tcPr>
          <w:p>
            <w:pPr>
              <w:pStyle w:val="16"/>
              <w:jc w:val="center"/>
              <w:rPr>
                <w:rFonts w:hAnsi="宋体" w:cs="宋体"/>
                <w:color w:val="auto"/>
                <w:szCs w:val="21"/>
                <w:highlight w:val="none"/>
              </w:rPr>
            </w:pPr>
          </w:p>
        </w:tc>
        <w:tc>
          <w:tcPr>
            <w:tcW w:w="1655" w:type="dxa"/>
            <w:tcBorders>
              <w:tl2br w:val="nil"/>
              <w:tr2bl w:val="nil"/>
            </w:tcBorders>
            <w:vAlign w:val="center"/>
          </w:tcPr>
          <w:p>
            <w:pPr>
              <w:pStyle w:val="16"/>
              <w:jc w:val="center"/>
              <w:rPr>
                <w:rFonts w:hAnsi="宋体" w:cs="宋体"/>
                <w:color w:val="auto"/>
                <w:szCs w:val="21"/>
                <w:highlight w:val="none"/>
              </w:rPr>
            </w:pPr>
          </w:p>
        </w:tc>
        <w:tc>
          <w:tcPr>
            <w:tcW w:w="2650" w:type="dxa"/>
            <w:tcBorders>
              <w:tl2br w:val="nil"/>
              <w:tr2bl w:val="nil"/>
            </w:tcBorders>
            <w:vAlign w:val="center"/>
          </w:tcPr>
          <w:p>
            <w:pPr>
              <w:pStyle w:val="16"/>
              <w:jc w:val="center"/>
              <w:rPr>
                <w:rFonts w:hAnsi="宋体" w:cs="宋体"/>
                <w:color w:val="auto"/>
                <w:szCs w:val="21"/>
                <w:highlight w:val="none"/>
              </w:rPr>
            </w:pPr>
          </w:p>
        </w:tc>
        <w:tc>
          <w:tcPr>
            <w:tcW w:w="1470" w:type="dxa"/>
            <w:tcBorders>
              <w:tl2br w:val="nil"/>
              <w:tr2bl w:val="nil"/>
            </w:tcBorders>
            <w:vAlign w:val="center"/>
          </w:tcPr>
          <w:p>
            <w:pPr>
              <w:pStyle w:val="16"/>
              <w:jc w:val="center"/>
              <w:rPr>
                <w:rFonts w:hAnsi="宋体" w:cs="宋体"/>
                <w:color w:val="auto"/>
                <w:szCs w:val="21"/>
                <w:highlight w:val="none"/>
              </w:rPr>
            </w:pPr>
          </w:p>
        </w:tc>
        <w:tc>
          <w:tcPr>
            <w:tcW w:w="930"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 w:type="dxa"/>
            <w:tcBorders>
              <w:tl2br w:val="nil"/>
              <w:tr2bl w:val="nil"/>
            </w:tcBorders>
            <w:vAlign w:val="center"/>
          </w:tcPr>
          <w:p>
            <w:pPr>
              <w:pStyle w:val="16"/>
              <w:jc w:val="center"/>
              <w:rPr>
                <w:rFonts w:hAnsi="宋体" w:cs="宋体"/>
                <w:color w:val="auto"/>
                <w:szCs w:val="21"/>
                <w:highlight w:val="none"/>
              </w:rPr>
            </w:pPr>
          </w:p>
        </w:tc>
        <w:tc>
          <w:tcPr>
            <w:tcW w:w="1995" w:type="dxa"/>
            <w:tcBorders>
              <w:tl2br w:val="nil"/>
              <w:tr2bl w:val="nil"/>
            </w:tcBorders>
            <w:vAlign w:val="center"/>
          </w:tcPr>
          <w:p>
            <w:pPr>
              <w:pStyle w:val="16"/>
              <w:jc w:val="center"/>
              <w:rPr>
                <w:rFonts w:hAnsi="宋体" w:cs="宋体"/>
                <w:color w:val="auto"/>
                <w:szCs w:val="21"/>
                <w:highlight w:val="none"/>
              </w:rPr>
            </w:pPr>
          </w:p>
        </w:tc>
        <w:tc>
          <w:tcPr>
            <w:tcW w:w="1655" w:type="dxa"/>
            <w:tcBorders>
              <w:tl2br w:val="nil"/>
              <w:tr2bl w:val="nil"/>
            </w:tcBorders>
            <w:vAlign w:val="center"/>
          </w:tcPr>
          <w:p>
            <w:pPr>
              <w:pStyle w:val="16"/>
              <w:jc w:val="center"/>
              <w:rPr>
                <w:rFonts w:hAnsi="宋体" w:cs="宋体"/>
                <w:color w:val="auto"/>
                <w:szCs w:val="21"/>
                <w:highlight w:val="none"/>
              </w:rPr>
            </w:pPr>
          </w:p>
        </w:tc>
        <w:tc>
          <w:tcPr>
            <w:tcW w:w="2650" w:type="dxa"/>
            <w:tcBorders>
              <w:tl2br w:val="nil"/>
              <w:tr2bl w:val="nil"/>
            </w:tcBorders>
            <w:vAlign w:val="center"/>
          </w:tcPr>
          <w:p>
            <w:pPr>
              <w:pStyle w:val="16"/>
              <w:jc w:val="center"/>
              <w:rPr>
                <w:rFonts w:hAnsi="宋体" w:cs="宋体"/>
                <w:color w:val="auto"/>
                <w:szCs w:val="21"/>
                <w:highlight w:val="none"/>
              </w:rPr>
            </w:pPr>
          </w:p>
        </w:tc>
        <w:tc>
          <w:tcPr>
            <w:tcW w:w="1470" w:type="dxa"/>
            <w:tcBorders>
              <w:tl2br w:val="nil"/>
              <w:tr2bl w:val="nil"/>
            </w:tcBorders>
            <w:vAlign w:val="center"/>
          </w:tcPr>
          <w:p>
            <w:pPr>
              <w:pStyle w:val="16"/>
              <w:jc w:val="center"/>
              <w:rPr>
                <w:rFonts w:hAnsi="宋体" w:cs="宋体"/>
                <w:color w:val="auto"/>
                <w:szCs w:val="21"/>
                <w:highlight w:val="none"/>
              </w:rPr>
            </w:pPr>
          </w:p>
        </w:tc>
        <w:tc>
          <w:tcPr>
            <w:tcW w:w="930" w:type="dxa"/>
            <w:tcBorders>
              <w:tl2br w:val="nil"/>
              <w:tr2bl w:val="nil"/>
            </w:tcBorders>
            <w:vAlign w:val="center"/>
          </w:tcPr>
          <w:p>
            <w:pPr>
              <w:pStyle w:val="16"/>
              <w:jc w:val="center"/>
              <w:rPr>
                <w:rFonts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60" w:type="dxa"/>
            <w:tcBorders>
              <w:tl2br w:val="nil"/>
              <w:tr2bl w:val="nil"/>
            </w:tcBorders>
            <w:vAlign w:val="center"/>
          </w:tcPr>
          <w:p>
            <w:pPr>
              <w:pStyle w:val="16"/>
              <w:jc w:val="center"/>
              <w:rPr>
                <w:rFonts w:hAnsi="宋体" w:cs="宋体"/>
                <w:color w:val="auto"/>
                <w:szCs w:val="21"/>
                <w:highlight w:val="none"/>
              </w:rPr>
            </w:pPr>
          </w:p>
        </w:tc>
        <w:tc>
          <w:tcPr>
            <w:tcW w:w="1995" w:type="dxa"/>
            <w:tcBorders>
              <w:tl2br w:val="nil"/>
              <w:tr2bl w:val="nil"/>
            </w:tcBorders>
            <w:vAlign w:val="center"/>
          </w:tcPr>
          <w:p>
            <w:pPr>
              <w:pStyle w:val="16"/>
              <w:jc w:val="center"/>
              <w:rPr>
                <w:rFonts w:hAnsi="宋体" w:cs="宋体"/>
                <w:color w:val="auto"/>
                <w:szCs w:val="21"/>
                <w:highlight w:val="none"/>
              </w:rPr>
            </w:pPr>
          </w:p>
        </w:tc>
        <w:tc>
          <w:tcPr>
            <w:tcW w:w="1655" w:type="dxa"/>
            <w:tcBorders>
              <w:tl2br w:val="nil"/>
              <w:tr2bl w:val="nil"/>
            </w:tcBorders>
            <w:vAlign w:val="center"/>
          </w:tcPr>
          <w:p>
            <w:pPr>
              <w:pStyle w:val="16"/>
              <w:jc w:val="center"/>
              <w:rPr>
                <w:rFonts w:hAnsi="宋体" w:cs="宋体"/>
                <w:color w:val="auto"/>
                <w:szCs w:val="21"/>
                <w:highlight w:val="none"/>
              </w:rPr>
            </w:pPr>
          </w:p>
        </w:tc>
        <w:tc>
          <w:tcPr>
            <w:tcW w:w="2650" w:type="dxa"/>
            <w:tcBorders>
              <w:tl2br w:val="nil"/>
              <w:tr2bl w:val="nil"/>
            </w:tcBorders>
            <w:vAlign w:val="center"/>
          </w:tcPr>
          <w:p>
            <w:pPr>
              <w:pStyle w:val="16"/>
              <w:jc w:val="center"/>
              <w:rPr>
                <w:rFonts w:hAnsi="宋体" w:cs="宋体"/>
                <w:color w:val="auto"/>
                <w:szCs w:val="21"/>
                <w:highlight w:val="none"/>
              </w:rPr>
            </w:pPr>
          </w:p>
        </w:tc>
        <w:tc>
          <w:tcPr>
            <w:tcW w:w="1470" w:type="dxa"/>
            <w:tcBorders>
              <w:tl2br w:val="nil"/>
              <w:tr2bl w:val="nil"/>
            </w:tcBorders>
            <w:vAlign w:val="center"/>
          </w:tcPr>
          <w:p>
            <w:pPr>
              <w:pStyle w:val="16"/>
              <w:jc w:val="center"/>
              <w:rPr>
                <w:rFonts w:hAnsi="宋体" w:cs="宋体"/>
                <w:color w:val="auto"/>
                <w:szCs w:val="21"/>
                <w:highlight w:val="none"/>
              </w:rPr>
            </w:pPr>
          </w:p>
        </w:tc>
        <w:tc>
          <w:tcPr>
            <w:tcW w:w="930" w:type="dxa"/>
            <w:tcBorders>
              <w:tl2br w:val="nil"/>
              <w:tr2bl w:val="nil"/>
            </w:tcBorders>
            <w:vAlign w:val="center"/>
          </w:tcPr>
          <w:p>
            <w:pPr>
              <w:pStyle w:val="16"/>
              <w:jc w:val="center"/>
              <w:rPr>
                <w:rFonts w:hAnsi="宋体" w:cs="宋体"/>
                <w:color w:val="auto"/>
                <w:szCs w:val="21"/>
                <w:highlight w:val="none"/>
              </w:rPr>
            </w:pPr>
          </w:p>
        </w:tc>
      </w:tr>
    </w:tbl>
    <w:p>
      <w:pPr>
        <w:pStyle w:val="16"/>
        <w:spacing w:before="156" w:beforeLines="50" w:line="360" w:lineRule="auto"/>
        <w:ind w:firstLine="422" w:firstLineChars="200"/>
        <w:rPr>
          <w:rFonts w:hAnsi="宋体" w:cs="宋体"/>
          <w:color w:val="auto"/>
          <w:highlight w:val="none"/>
        </w:rPr>
      </w:pPr>
      <w:r>
        <w:rPr>
          <w:rFonts w:hint="eastAsia" w:hAnsi="宋体" w:cs="宋体"/>
          <w:b/>
          <w:bCs/>
          <w:color w:val="auto"/>
          <w:highlight w:val="none"/>
        </w:rPr>
        <w:t>注：</w:t>
      </w:r>
      <w:r>
        <w:rPr>
          <w:rFonts w:hint="eastAsia" w:hAnsi="宋体" w:cs="宋体"/>
          <w:color w:val="auto"/>
          <w:highlight w:val="none"/>
        </w:rPr>
        <w:t>在“响应与偏离”项必须注明正偏离、负偏离或响应。</w:t>
      </w:r>
    </w:p>
    <w:p>
      <w:pPr>
        <w:pStyle w:val="16"/>
        <w:spacing w:line="360" w:lineRule="auto"/>
        <w:ind w:firstLine="420" w:firstLineChars="200"/>
        <w:rPr>
          <w:rFonts w:hAnsi="宋体" w:cs="宋体"/>
          <w:color w:val="auto"/>
          <w:highlight w:val="none"/>
        </w:rPr>
      </w:pPr>
    </w:p>
    <w:p>
      <w:pPr>
        <w:pStyle w:val="16"/>
        <w:spacing w:line="360" w:lineRule="auto"/>
        <w:ind w:firstLine="420" w:firstLineChars="200"/>
        <w:rPr>
          <w:rFonts w:hAnsi="宋体" w:cs="宋体"/>
          <w:color w:val="auto"/>
          <w:highlight w:val="none"/>
        </w:rPr>
      </w:pPr>
      <w:r>
        <w:rPr>
          <w:rFonts w:hint="eastAsia" w:hAnsi="宋体" w:cs="宋体"/>
          <w:color w:val="auto"/>
          <w:highlight w:val="none"/>
        </w:rPr>
        <w:t>供应商</w:t>
      </w:r>
      <w:r>
        <w:rPr>
          <w:rFonts w:hint="eastAsia" w:hAnsi="宋体"/>
          <w:color w:val="auto"/>
          <w:szCs w:val="21"/>
          <w:highlight w:val="none"/>
        </w:rPr>
        <w:t>名称</w:t>
      </w:r>
      <w:r>
        <w:rPr>
          <w:rFonts w:hAnsi="宋体" w:cs="宋体"/>
          <w:color w:val="auto"/>
          <w:highlight w:val="none"/>
        </w:rPr>
        <w:t>(</w:t>
      </w:r>
      <w:r>
        <w:rPr>
          <w:rFonts w:hint="eastAsia" w:hAnsi="宋体" w:cs="宋体"/>
          <w:color w:val="auto"/>
          <w:highlight w:val="none"/>
        </w:rPr>
        <w:t>盖单位公章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法定代表人或其授权代表</w:t>
      </w:r>
      <w:r>
        <w:rPr>
          <w:rFonts w:hAnsi="宋体" w:cs="宋体"/>
          <w:color w:val="auto"/>
          <w:highlight w:val="none"/>
        </w:rPr>
        <w:t>(</w:t>
      </w:r>
      <w:r>
        <w:rPr>
          <w:rFonts w:hint="eastAsia" w:hAnsi="宋体" w:cs="宋体"/>
          <w:color w:val="auto"/>
          <w:highlight w:val="none"/>
        </w:rPr>
        <w:t>签字或盖章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日期：</w:t>
      </w:r>
      <w:r>
        <w:rPr>
          <w:rFonts w:hAnsi="宋体" w:cs="宋体"/>
          <w:color w:val="auto"/>
          <w:highlight w:val="none"/>
        </w:rPr>
        <w:t>______</w:t>
      </w:r>
      <w:r>
        <w:rPr>
          <w:rFonts w:hint="eastAsia" w:hAnsi="宋体" w:cs="宋体"/>
          <w:color w:val="auto"/>
          <w:highlight w:val="none"/>
        </w:rPr>
        <w:t>年</w:t>
      </w:r>
      <w:r>
        <w:rPr>
          <w:rFonts w:hAnsi="宋体" w:cs="宋体"/>
          <w:color w:val="auto"/>
          <w:highlight w:val="none"/>
        </w:rPr>
        <w:t>____</w:t>
      </w:r>
      <w:r>
        <w:rPr>
          <w:rFonts w:hint="eastAsia" w:hAnsi="宋体" w:cs="宋体"/>
          <w:color w:val="auto"/>
          <w:highlight w:val="none"/>
        </w:rPr>
        <w:t>月</w:t>
      </w:r>
      <w:r>
        <w:rPr>
          <w:rFonts w:hAnsi="宋体" w:cs="宋体"/>
          <w:color w:val="auto"/>
          <w:highlight w:val="none"/>
        </w:rPr>
        <w:t>____</w:t>
      </w:r>
      <w:r>
        <w:rPr>
          <w:rFonts w:hint="eastAsia" w:hAnsi="宋体" w:cs="宋体"/>
          <w:color w:val="auto"/>
          <w:highlight w:val="none"/>
        </w:rPr>
        <w:t>日</w:t>
      </w: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sectPr>
          <w:footerReference r:id="rId26"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outlineLvl w:val="1"/>
        <w:rPr>
          <w:rFonts w:ascii="宋体" w:hAnsi="宋体" w:cs="宋体"/>
          <w:bCs/>
          <w:color w:val="auto"/>
          <w:szCs w:val="21"/>
          <w:highlight w:val="none"/>
        </w:rPr>
      </w:pPr>
      <w:bookmarkStart w:id="91" w:name="_Toc8061017"/>
      <w:bookmarkStart w:id="92" w:name="_Toc25059"/>
      <w:r>
        <w:rPr>
          <w:rFonts w:hint="eastAsia" w:ascii="宋体" w:hAnsi="宋体" w:cs="宋体"/>
          <w:bCs/>
          <w:color w:val="auto"/>
          <w:szCs w:val="21"/>
          <w:highlight w:val="none"/>
        </w:rPr>
        <w:t>格式6、</w:t>
      </w:r>
      <w:bookmarkEnd w:id="91"/>
      <w:r>
        <w:rPr>
          <w:rFonts w:hint="eastAsia" w:ascii="宋体" w:hAnsi="宋体" w:cs="宋体"/>
          <w:bCs/>
          <w:color w:val="auto"/>
          <w:szCs w:val="21"/>
          <w:highlight w:val="none"/>
        </w:rPr>
        <w:t>施工组织设计</w:t>
      </w:r>
      <w:bookmarkEnd w:id="92"/>
    </w:p>
    <w:p>
      <w:pPr>
        <w:adjustRightInd w:val="0"/>
        <w:snapToGrid w:val="0"/>
        <w:ind w:left="-88" w:leftChars="-42" w:right="23" w:rightChars="11" w:firstLine="3847" w:firstLineChars="1374"/>
        <w:rPr>
          <w:rFonts w:ascii="黑体" w:hAnsi="宋体" w:eastAsia="黑体"/>
          <w:b/>
          <w:bCs/>
          <w:color w:val="auto"/>
          <w:sz w:val="24"/>
          <w:highlight w:val="none"/>
        </w:rPr>
      </w:pPr>
      <w:r>
        <w:rPr>
          <w:rFonts w:hint="eastAsia" w:ascii="黑体" w:hAnsi="宋体" w:eastAsia="黑体" w:cs="黑体"/>
          <w:color w:val="auto"/>
          <w:sz w:val="28"/>
          <w:szCs w:val="28"/>
          <w:highlight w:val="none"/>
        </w:rPr>
        <w:t>施工组织设计</w:t>
      </w:r>
    </w:p>
    <w:p>
      <w:pPr>
        <w:spacing w:line="360" w:lineRule="atLeast"/>
        <w:ind w:right="23" w:rightChars="11"/>
        <w:rPr>
          <w:rFonts w:ascii="黑体" w:hAnsi="宋体" w:eastAsia="黑体"/>
          <w:color w:val="auto"/>
          <w:sz w:val="28"/>
          <w:szCs w:val="28"/>
          <w:highlight w:val="none"/>
        </w:rPr>
      </w:pPr>
    </w:p>
    <w:p>
      <w:pPr>
        <w:pStyle w:val="3"/>
        <w:spacing w:after="0" w:line="400" w:lineRule="exact"/>
        <w:ind w:right="23" w:rightChars="11" w:firstLine="420" w:firstLineChars="200"/>
        <w:rPr>
          <w:rFonts w:ascii="宋体" w:hAnsi="宋体" w:cs="仿宋_GB2312"/>
          <w:bCs/>
          <w:color w:val="auto"/>
          <w:kern w:val="2"/>
          <w:sz w:val="21"/>
          <w:szCs w:val="21"/>
          <w:highlight w:val="none"/>
        </w:rPr>
      </w:pPr>
      <w:r>
        <w:rPr>
          <w:rFonts w:hint="eastAsia" w:ascii="宋体" w:hAnsi="宋体" w:cs="仿宋_GB2312"/>
          <w:bCs/>
          <w:color w:val="auto"/>
          <w:kern w:val="2"/>
          <w:sz w:val="21"/>
          <w:szCs w:val="21"/>
          <w:highlight w:val="none"/>
        </w:rPr>
        <w:t>供应商应递交完整的施工组织时间，说明各分部分项工程的施工方法和布置，提交包括临时设施和施工道路的施工总布置图及其它的图表、文字说明书等资料，《施工组织设计》技术文件应包括的内容：</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一、施工方案</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二、施工进度计划及保证措施</w:t>
      </w:r>
    </w:p>
    <w:p>
      <w:pPr>
        <w:tabs>
          <w:tab w:val="left" w:pos="2985"/>
        </w:tabs>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三、保证质量措施</w:t>
      </w:r>
      <w:r>
        <w:rPr>
          <w:rFonts w:hint="eastAsia" w:ascii="宋体" w:hAnsi="宋体" w:cs="仿宋_GB2312"/>
          <w:bCs/>
          <w:color w:val="auto"/>
          <w:szCs w:val="21"/>
          <w:highlight w:val="none"/>
        </w:rPr>
        <w:tab/>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四、保证安全措施</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五、文明施工现场措施</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六、劳动力安排计划</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七、主要机具使用计划</w:t>
      </w:r>
    </w:p>
    <w:p>
      <w:pPr>
        <w:spacing w:line="400" w:lineRule="exact"/>
        <w:ind w:right="23" w:rightChars="11" w:firstLine="420" w:firstLineChars="200"/>
        <w:rPr>
          <w:rFonts w:ascii="宋体" w:hAnsi="宋体" w:cs="仿宋_GB2312"/>
          <w:bCs/>
          <w:color w:val="auto"/>
          <w:szCs w:val="21"/>
          <w:highlight w:val="none"/>
        </w:rPr>
      </w:pPr>
      <w:r>
        <w:rPr>
          <w:rFonts w:hint="eastAsia" w:ascii="宋体" w:hAnsi="宋体" w:cs="仿宋_GB2312"/>
          <w:bCs/>
          <w:color w:val="auto"/>
          <w:szCs w:val="21"/>
          <w:highlight w:val="none"/>
        </w:rPr>
        <w:t>八、合理化建议</w:t>
      </w:r>
    </w:p>
    <w:p>
      <w:pPr>
        <w:adjustRightInd w:val="0"/>
        <w:snapToGrid w:val="0"/>
        <w:ind w:right="23" w:rightChars="11" w:firstLine="422" w:firstLineChars="200"/>
        <w:rPr>
          <w:rFonts w:cs="宋体"/>
          <w:b/>
          <w:bCs/>
          <w:color w:val="auto"/>
          <w:highlight w:val="none"/>
        </w:rPr>
      </w:pPr>
    </w:p>
    <w:p>
      <w:pPr>
        <w:adjustRightInd w:val="0"/>
        <w:snapToGrid w:val="0"/>
        <w:ind w:right="23" w:rightChars="11" w:firstLine="422" w:firstLineChars="200"/>
        <w:rPr>
          <w:rFonts w:ascii="宋体"/>
          <w:color w:val="auto"/>
          <w:highlight w:val="none"/>
        </w:rPr>
      </w:pPr>
      <w:r>
        <w:rPr>
          <w:rFonts w:hint="eastAsia" w:cs="宋体"/>
          <w:b/>
          <w:bCs/>
          <w:color w:val="auto"/>
          <w:highlight w:val="none"/>
        </w:rPr>
        <w:t>注：施工组织设计部分要求供应商授权代表在该部分最后一页右下角签字。</w:t>
      </w:r>
    </w:p>
    <w:p>
      <w:pPr>
        <w:pStyle w:val="16"/>
        <w:ind w:firstLine="562"/>
        <w:jc w:val="center"/>
        <w:rPr>
          <w:rFonts w:ascii="黑体" w:hAnsi="宋体" w:eastAsia="黑体"/>
          <w:b/>
          <w:color w:val="auto"/>
          <w:sz w:val="28"/>
          <w:szCs w:val="28"/>
          <w:highlight w:val="none"/>
        </w:rPr>
      </w:pPr>
    </w:p>
    <w:p>
      <w:pPr>
        <w:pStyle w:val="16"/>
        <w:ind w:firstLine="562"/>
        <w:jc w:val="center"/>
        <w:rPr>
          <w:rFonts w:ascii="黑体" w:hAnsi="宋体" w:eastAsia="黑体"/>
          <w:b/>
          <w:color w:val="auto"/>
          <w:sz w:val="28"/>
          <w:szCs w:val="28"/>
          <w:highlight w:val="none"/>
        </w:rPr>
      </w:pPr>
    </w:p>
    <w:p>
      <w:pPr>
        <w:pStyle w:val="16"/>
        <w:ind w:firstLine="562"/>
        <w:jc w:val="center"/>
        <w:rPr>
          <w:rFonts w:ascii="黑体" w:hAnsi="宋体" w:eastAsia="黑体"/>
          <w:b/>
          <w:color w:val="auto"/>
          <w:sz w:val="28"/>
          <w:szCs w:val="28"/>
          <w:highlight w:val="none"/>
        </w:rPr>
      </w:pPr>
    </w:p>
    <w:p>
      <w:pPr>
        <w:pStyle w:val="16"/>
        <w:spacing w:line="360" w:lineRule="auto"/>
        <w:ind w:firstLine="420" w:firstLineChars="200"/>
        <w:rPr>
          <w:rFonts w:hAnsi="宋体" w:cs="宋体"/>
          <w:color w:val="auto"/>
          <w:highlight w:val="none"/>
        </w:rPr>
      </w:pPr>
      <w:r>
        <w:rPr>
          <w:rFonts w:hint="eastAsia" w:hAnsi="宋体" w:cs="宋体"/>
          <w:color w:val="auto"/>
          <w:highlight w:val="none"/>
        </w:rPr>
        <w:t>供应商</w:t>
      </w:r>
      <w:r>
        <w:rPr>
          <w:rFonts w:hint="eastAsia" w:hAnsi="宋体"/>
          <w:color w:val="auto"/>
          <w:szCs w:val="21"/>
          <w:highlight w:val="none"/>
        </w:rPr>
        <w:t>名称</w:t>
      </w:r>
      <w:bookmarkStart w:id="97" w:name="_GoBack"/>
      <w:bookmarkEnd w:id="97"/>
      <w:r>
        <w:rPr>
          <w:rFonts w:hAnsi="宋体" w:cs="宋体"/>
          <w:color w:val="auto"/>
          <w:highlight w:val="none"/>
        </w:rPr>
        <w:t>(</w:t>
      </w:r>
      <w:r>
        <w:rPr>
          <w:rFonts w:hint="eastAsia" w:hAnsi="宋体" w:cs="宋体"/>
          <w:color w:val="auto"/>
          <w:highlight w:val="none"/>
        </w:rPr>
        <w:t>盖单位公章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法定代表人或其授权代表</w:t>
      </w:r>
      <w:r>
        <w:rPr>
          <w:rFonts w:hAnsi="宋体" w:cs="宋体"/>
          <w:color w:val="auto"/>
          <w:highlight w:val="none"/>
        </w:rPr>
        <w:t>(</w:t>
      </w:r>
      <w:r>
        <w:rPr>
          <w:rFonts w:hint="eastAsia" w:hAnsi="宋体" w:cs="宋体"/>
          <w:color w:val="auto"/>
          <w:highlight w:val="none"/>
        </w:rPr>
        <w:t>签字或盖章</w:t>
      </w:r>
      <w:r>
        <w:rPr>
          <w:rFonts w:hAnsi="宋体" w:cs="宋体"/>
          <w:color w:val="auto"/>
          <w:highlight w:val="none"/>
        </w:rPr>
        <w:t>)</w:t>
      </w:r>
      <w:r>
        <w:rPr>
          <w:rFonts w:hint="eastAsia" w:hAnsi="宋体" w:cs="宋体"/>
          <w:color w:val="auto"/>
          <w:highlight w:val="none"/>
        </w:rPr>
        <w:t>：</w:t>
      </w:r>
      <w:r>
        <w:rPr>
          <w:rFonts w:hAnsi="宋体" w:cs="宋体"/>
          <w:color w:val="auto"/>
          <w:highlight w:val="none"/>
        </w:rPr>
        <w:t>________________</w:t>
      </w:r>
    </w:p>
    <w:p>
      <w:pPr>
        <w:pStyle w:val="16"/>
        <w:spacing w:line="360" w:lineRule="auto"/>
        <w:ind w:firstLine="420" w:firstLineChars="200"/>
        <w:rPr>
          <w:rFonts w:hAnsi="宋体" w:cs="宋体"/>
          <w:color w:val="auto"/>
          <w:highlight w:val="none"/>
        </w:rPr>
      </w:pPr>
      <w:r>
        <w:rPr>
          <w:rFonts w:hint="eastAsia" w:hAnsi="宋体" w:cs="宋体"/>
          <w:color w:val="auto"/>
          <w:highlight w:val="none"/>
        </w:rPr>
        <w:t>日期：</w:t>
      </w:r>
      <w:r>
        <w:rPr>
          <w:rFonts w:hAnsi="宋体" w:cs="宋体"/>
          <w:color w:val="auto"/>
          <w:highlight w:val="none"/>
        </w:rPr>
        <w:t>______</w:t>
      </w:r>
      <w:r>
        <w:rPr>
          <w:rFonts w:hint="eastAsia" w:hAnsi="宋体" w:cs="宋体"/>
          <w:color w:val="auto"/>
          <w:highlight w:val="none"/>
        </w:rPr>
        <w:t>年</w:t>
      </w:r>
      <w:r>
        <w:rPr>
          <w:rFonts w:hAnsi="宋体" w:cs="宋体"/>
          <w:color w:val="auto"/>
          <w:highlight w:val="none"/>
        </w:rPr>
        <w:t>____</w:t>
      </w:r>
      <w:r>
        <w:rPr>
          <w:rFonts w:hint="eastAsia" w:hAnsi="宋体" w:cs="宋体"/>
          <w:color w:val="auto"/>
          <w:highlight w:val="none"/>
        </w:rPr>
        <w:t>月</w:t>
      </w:r>
      <w:r>
        <w:rPr>
          <w:rFonts w:hAnsi="宋体" w:cs="宋体"/>
          <w:color w:val="auto"/>
          <w:highlight w:val="none"/>
        </w:rPr>
        <w:t>____</w:t>
      </w:r>
      <w:r>
        <w:rPr>
          <w:rFonts w:hint="eastAsia" w:hAnsi="宋体" w:cs="宋体"/>
          <w:color w:val="auto"/>
          <w:highlight w:val="none"/>
        </w:rPr>
        <w:t>日</w:t>
      </w: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pStyle w:val="16"/>
        <w:spacing w:line="360" w:lineRule="auto"/>
        <w:outlineLvl w:val="2"/>
        <w:rPr>
          <w:rFonts w:ascii="楷体_GB2312" w:eastAsia="楷体_GB2312"/>
          <w:b/>
          <w:color w:val="auto"/>
          <w:highlight w:val="none"/>
        </w:rPr>
        <w:sectPr>
          <w:footerReference r:id="rId27"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outlineLvl w:val="1"/>
        <w:rPr>
          <w:rFonts w:ascii="宋体" w:hAnsi="宋体" w:cs="宋体"/>
          <w:bCs/>
          <w:color w:val="auto"/>
          <w:szCs w:val="21"/>
          <w:highlight w:val="none"/>
        </w:rPr>
      </w:pPr>
      <w:bookmarkStart w:id="93" w:name="_Toc20030"/>
      <w:bookmarkStart w:id="94" w:name="_Toc8061018"/>
      <w:r>
        <w:rPr>
          <w:rFonts w:hint="eastAsia" w:ascii="宋体" w:hAnsi="宋体" w:cs="宋体"/>
          <w:bCs/>
          <w:color w:val="auto"/>
          <w:szCs w:val="21"/>
          <w:highlight w:val="none"/>
        </w:rPr>
        <w:t>格式7、供应商认为需要提供的其它资料</w:t>
      </w:r>
      <w:bookmarkEnd w:id="93"/>
      <w:bookmarkEnd w:id="94"/>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rPr>
          <w:rFonts w:ascii="黑体" w:hAnsi="华文中宋" w:eastAsia="黑体"/>
          <w:bCs/>
          <w:color w:val="auto"/>
          <w:sz w:val="24"/>
          <w:highlight w:val="none"/>
        </w:rPr>
      </w:pPr>
    </w:p>
    <w:p>
      <w:pPr>
        <w:adjustRightInd w:val="0"/>
        <w:snapToGrid w:val="0"/>
        <w:spacing w:line="360" w:lineRule="auto"/>
        <w:outlineLvl w:val="2"/>
        <w:rPr>
          <w:rFonts w:ascii="黑体" w:hAnsi="华文中宋" w:eastAsia="黑体"/>
          <w:bCs/>
          <w:color w:val="auto"/>
          <w:sz w:val="24"/>
          <w:highlight w:val="none"/>
        </w:rPr>
        <w:sectPr>
          <w:footerReference r:id="rId28" w:type="default"/>
          <w:pgSz w:w="11906" w:h="16838"/>
          <w:pgMar w:top="1134" w:right="1134" w:bottom="1134" w:left="1134" w:header="851" w:footer="850" w:gutter="0"/>
          <w:cols w:space="0" w:num="1"/>
          <w:titlePg/>
          <w:docGrid w:type="lines" w:linePitch="312" w:charSpace="0"/>
        </w:sectPr>
      </w:pPr>
    </w:p>
    <w:p>
      <w:pPr>
        <w:adjustRightInd w:val="0"/>
        <w:snapToGrid w:val="0"/>
        <w:spacing w:line="360" w:lineRule="auto"/>
        <w:ind w:right="24"/>
        <w:outlineLvl w:val="1"/>
        <w:rPr>
          <w:rFonts w:ascii="宋体" w:hAnsi="宋体" w:cs="宋体"/>
          <w:bCs/>
          <w:color w:val="auto"/>
          <w:szCs w:val="21"/>
          <w:highlight w:val="none"/>
        </w:rPr>
      </w:pPr>
      <w:bookmarkStart w:id="95" w:name="_Toc8061019"/>
      <w:bookmarkStart w:id="96" w:name="_Toc17396"/>
      <w:r>
        <w:rPr>
          <w:rFonts w:hint="eastAsia" w:ascii="宋体" w:hAnsi="宋体" w:cs="宋体"/>
          <w:bCs/>
          <w:color w:val="auto"/>
          <w:szCs w:val="21"/>
          <w:highlight w:val="none"/>
        </w:rPr>
        <w:t>格式8、最后报价</w:t>
      </w:r>
      <w:bookmarkEnd w:id="95"/>
      <w:bookmarkEnd w:id="96"/>
    </w:p>
    <w:p>
      <w:pPr>
        <w:adjustRightInd w:val="0"/>
        <w:snapToGrid w:val="0"/>
        <w:spacing w:line="360" w:lineRule="auto"/>
        <w:jc w:val="center"/>
        <w:rPr>
          <w:rFonts w:ascii="宋体" w:hAnsi="宋体" w:cs="宋体"/>
          <w:b/>
          <w:color w:val="auto"/>
          <w:sz w:val="28"/>
          <w:szCs w:val="28"/>
          <w:highlight w:val="none"/>
        </w:rPr>
      </w:pPr>
      <w:r>
        <w:rPr>
          <w:rFonts w:hint="eastAsia" w:ascii="黑体" w:hAnsi="宋体" w:eastAsia="黑体"/>
          <w:b/>
          <w:color w:val="auto"/>
          <w:sz w:val="28"/>
          <w:szCs w:val="28"/>
          <w:highlight w:val="none"/>
        </w:rPr>
        <w:t xml:space="preserve"> 最后报价</w:t>
      </w:r>
    </w:p>
    <w:p>
      <w:pPr>
        <w:pStyle w:val="16"/>
        <w:spacing w:line="360" w:lineRule="auto"/>
        <w:rPr>
          <w:rFonts w:ascii="仿宋_GB2312" w:hAnsi="仿宋_GB2312" w:eastAsia="仿宋_GB2312" w:cs="仿宋_GB2312"/>
          <w:color w:val="auto"/>
          <w:highlight w:val="none"/>
        </w:rPr>
      </w:pPr>
    </w:p>
    <w:p>
      <w:pPr>
        <w:pStyle w:val="16"/>
        <w:spacing w:line="360" w:lineRule="auto"/>
        <w:rPr>
          <w:rFonts w:hAnsi="宋体" w:cs="宋体"/>
          <w:b/>
          <w:bCs/>
          <w:color w:val="auto"/>
          <w:highlight w:val="none"/>
        </w:rPr>
      </w:pPr>
      <w:r>
        <w:rPr>
          <w:rFonts w:hAnsi="宋体" w:cs="宋体"/>
          <w:b/>
          <w:bCs/>
          <w:color w:val="auto"/>
          <w:highlight w:val="none"/>
        </w:rPr>
        <w:t>1</w:t>
      </w:r>
      <w:r>
        <w:rPr>
          <w:rFonts w:hint="eastAsia" w:hAnsi="宋体" w:cs="宋体"/>
          <w:b/>
          <w:bCs/>
          <w:color w:val="auto"/>
          <w:highlight w:val="none"/>
        </w:rPr>
        <w:t>、最后报价不需要与响应文件一起提交。</w:t>
      </w:r>
    </w:p>
    <w:p>
      <w:pPr>
        <w:pStyle w:val="16"/>
        <w:spacing w:line="360" w:lineRule="auto"/>
        <w:jc w:val="left"/>
        <w:rPr>
          <w:rFonts w:hAnsi="宋体" w:cs="宋体"/>
          <w:b/>
          <w:bCs/>
          <w:color w:val="auto"/>
          <w:highlight w:val="none"/>
        </w:rPr>
      </w:pPr>
      <w:r>
        <w:rPr>
          <w:rFonts w:hAnsi="宋体" w:cs="宋体"/>
          <w:b/>
          <w:bCs/>
          <w:color w:val="auto"/>
          <w:highlight w:val="none"/>
        </w:rPr>
        <w:t>2</w:t>
      </w:r>
      <w:r>
        <w:rPr>
          <w:rFonts w:hint="eastAsia" w:hAnsi="宋体" w:cs="宋体"/>
          <w:b/>
          <w:bCs/>
          <w:color w:val="auto"/>
          <w:highlight w:val="none"/>
        </w:rPr>
        <w:t>、最后报价格式按本章“报价一览表”中的格式。</w:t>
      </w:r>
    </w:p>
    <w:p>
      <w:pPr>
        <w:pStyle w:val="16"/>
        <w:spacing w:line="360" w:lineRule="auto"/>
        <w:jc w:val="left"/>
        <w:rPr>
          <w:rFonts w:hAnsi="宋体" w:cs="宋体"/>
          <w:b/>
          <w:bCs/>
          <w:color w:val="auto"/>
          <w:highlight w:val="none"/>
        </w:rPr>
      </w:pPr>
      <w:r>
        <w:rPr>
          <w:rFonts w:hAnsi="宋体" w:cs="宋体"/>
          <w:b/>
          <w:bCs/>
          <w:color w:val="auto"/>
          <w:highlight w:val="none"/>
        </w:rPr>
        <w:t>3</w:t>
      </w:r>
      <w:r>
        <w:rPr>
          <w:rFonts w:hint="eastAsia" w:hAnsi="宋体" w:cs="宋体"/>
          <w:b/>
          <w:bCs/>
          <w:color w:val="auto"/>
          <w:highlight w:val="none"/>
        </w:rPr>
        <w:t>、最后报价应在规定时间内提交，如果未提交，视同前一次报价为最后报价；且最后报价不得高于前一次报价和采购项目预算。</w:t>
      </w:r>
    </w:p>
    <w:p>
      <w:pPr>
        <w:adjustRightInd w:val="0"/>
        <w:snapToGrid w:val="0"/>
        <w:rPr>
          <w:rFonts w:ascii="宋体"/>
          <w:color w:val="auto"/>
          <w:szCs w:val="21"/>
          <w:highlight w:val="none"/>
        </w:rPr>
      </w:pPr>
    </w:p>
    <w:p>
      <w:pPr>
        <w:adjustRightInd w:val="0"/>
        <w:snapToGrid w:val="0"/>
        <w:rPr>
          <w:rFonts w:ascii="宋体"/>
          <w:color w:val="auto"/>
          <w:szCs w:val="21"/>
          <w:highlight w:val="none"/>
        </w:rPr>
      </w:pPr>
    </w:p>
    <w:p>
      <w:pPr>
        <w:pStyle w:val="16"/>
        <w:ind w:firstLine="480" w:firstLineChars="200"/>
        <w:rPr>
          <w:rFonts w:hAnsi="宋体"/>
          <w:bCs/>
          <w:color w:val="auto"/>
          <w:sz w:val="24"/>
          <w:highlight w:val="none"/>
        </w:rPr>
      </w:pPr>
    </w:p>
    <w:sectPr>
      <w:footerReference r:id="rId29" w:type="default"/>
      <w:pgSz w:w="11906" w:h="16838"/>
      <w:pgMar w:top="1134" w:right="1134" w:bottom="1134" w:left="1134"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
    <w:altName w:val="Segoe Print"/>
    <w:panose1 w:val="00000000000000000000"/>
    <w:charset w:val="00"/>
    <w:family w:val="moder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p>
  <w:p>
    <w:pPr>
      <w:pStyle w:val="2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pPr>
    <w:r>
      <w:pict>
        <v:shape id="_x0000_s3293" o:spid="_x0000_s3293" o:spt="202" type="#_x0000_t202" style="position:absolute;left:0pt;margin-top:0pt;height:144pt;width:144pt;mso-position-horizontal:center;mso-position-horizontal-relative:margin;mso-wrap-style:none;z-index:251684864;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18</w:t>
                </w:r>
                <w:r>
                  <w:fldChar w:fldCharType="end"/>
                </w:r>
              </w:p>
            </w:txbxContent>
          </v:textbox>
        </v:shape>
      </w:pict>
    </w:r>
    <w:r>
      <w:pict>
        <v:line id="_x0000_s3239" o:spid="_x0000_s3239" o:spt="20" style="position:absolute;left:0pt;margin-left:1.3pt;margin-top:-2.8pt;height:0.05pt;width:480pt;z-index:-251651072;mso-width-relative:page;mso-height-relative:page;" coordsize="21600,21600">
          <v:path arrowok="t"/>
          <v:fill focussize="0,0"/>
          <v:stroke/>
          <v:imagedata o:title=""/>
          <o:lock v:ext="edit"/>
        </v:line>
      </w:pict>
    </w:r>
    <w:r>
      <w:pict>
        <v:shape id="_x0000_s3238" o:spid="_x0000_s3238" o:spt="202" type="#_x0000_t202" style="position:absolute;left:0pt;margin-left:1.05pt;margin-top:0pt;height:11.65pt;width:480.85pt;mso-position-horizontal-relative:margin;z-index:-251650048;mso-width-relative:page;mso-height-relative:page;" filled="f" stroked="f" coordsize="21600,21600">
          <v:path/>
          <v:fill on="f" focussize="0,0"/>
          <v:stroke on="f" joinstyle="miter"/>
          <v:imagedata o:title=""/>
          <o:lock v:ext="edit"/>
          <v:textbox inset="0mm,0mm,0mm,0mm">
            <w:txbxContent>
              <w:p>
                <w:pPr>
                  <w:pStyle w:val="22"/>
                  <w:tabs>
                    <w:tab w:val="center" w:pos="4766"/>
                    <w:tab w:val="left" w:pos="6446"/>
                  </w:tabs>
                </w:pPr>
                <w:r>
                  <w:rPr>
                    <w:rFonts w:hint="eastAsia"/>
                  </w:rPr>
                  <w:t>湖南新星项目管理有限公司</w:t>
                </w:r>
                <w:r>
                  <w:tab/>
                </w:r>
                <w:r>
                  <w:tab/>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294" o:spid="_x0000_s3294" o:spt="202" type="#_x0000_t202" style="position:absolute;left:0pt;margin-top:0pt;height:144pt;width:144pt;mso-position-horizontal:center;mso-position-horizontal-relative:margin;mso-wrap-style:none;z-index:251685888;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pPr>
    <w:r>
      <w:pict>
        <v:shape id="_x0000_s3295" o:spid="_x0000_s3295" o:spt="202" type="#_x0000_t202" style="position:absolute;left:0pt;margin-top:0pt;height:144pt;width:144pt;mso-position-horizontal:center;mso-position-horizontal-relative:margin;mso-wrap-style:none;z-index:251686912;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48</w:t>
                </w:r>
                <w:r>
                  <w:fldChar w:fldCharType="end"/>
                </w:r>
              </w:p>
            </w:txbxContent>
          </v:textbox>
        </v:shape>
      </w:pict>
    </w:r>
    <w:r>
      <w:pict>
        <v:line id="_x0000_s3243" o:spid="_x0000_s3243" o:spt="20" style="position:absolute;left:0pt;margin-left:1.3pt;margin-top:-2.8pt;height:0.05pt;width:479.2pt;z-index:-251649024;mso-width-relative:page;mso-height-relative:page;" coordsize="21600,21600">
          <v:path arrowok="t"/>
          <v:fill focussize="0,0"/>
          <v:stroke/>
          <v:imagedata o:title=""/>
          <o:lock v:ext="edit"/>
        </v:line>
      </w:pict>
    </w:r>
    <w:r>
      <w:pict>
        <v:shape id="_x0000_s3242" o:spid="_x0000_s3242" o:spt="202" type="#_x0000_t202" style="position:absolute;left:0pt;margin-left:1.05pt;margin-top:0pt;height:11.65pt;width:480.85pt;mso-position-horizontal-relative:margin;z-index:-251646976;mso-width-relative:page;mso-height-relative:page;" filled="f" stroked="f" coordsize="21600,21600">
          <v:path/>
          <v:fill on="f" focussize="0,0"/>
          <v:stroke on="f" joinstyle="miter"/>
          <v:imagedata o:title=""/>
          <o:lock v:ext="edit"/>
          <v:textbox inset="0mm,0mm,0mm,0mm">
            <w:txbxContent>
              <w:p>
                <w:pPr>
                  <w:pStyle w:val="22"/>
                  <w:tabs>
                    <w:tab w:val="center" w:pos="4766"/>
                    <w:tab w:val="left" w:pos="6446"/>
                  </w:tabs>
                </w:pPr>
                <w:r>
                  <w:rPr>
                    <w:rFonts w:hint="eastAsia"/>
                  </w:rPr>
                  <w:t>湖南新星项目管理有限公司</w:t>
                </w:r>
                <w:r>
                  <w:tab/>
                </w:r>
                <w:r>
                  <w:tab/>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296" o:spid="_x0000_s3296" o:spt="202" type="#_x0000_t202" style="position:absolute;left:0pt;margin-top:0pt;height:144pt;width:144pt;mso-position-horizontal:center;mso-position-horizontal-relative:margin;mso-wrap-style:none;z-index:251687936;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pPr>
    <w:r>
      <w:pict>
        <v:shape id="_x0000_s3297" o:spid="_x0000_s3297" o:spt="202" type="#_x0000_t202" style="position:absolute;left:0pt;margin-top:0pt;height:144pt;width:144pt;mso-position-horizontal:center;mso-position-horizontal-relative:margin;mso-wrap-style:none;z-index:251688960;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49</w:t>
                </w:r>
                <w:r>
                  <w:fldChar w:fldCharType="end"/>
                </w:r>
              </w:p>
            </w:txbxContent>
          </v:textbox>
        </v:shape>
      </w:pict>
    </w:r>
    <w:r>
      <w:pict>
        <v:line id="_x0000_s3247" o:spid="_x0000_s3247" o:spt="20" style="position:absolute;left:0pt;flip:y;margin-left:1.3pt;margin-top:-4.25pt;height:0.7pt;width:480pt;z-index:-251645952;mso-width-relative:page;mso-height-relative:page;" coordsize="21600,21600">
          <v:path arrowok="t"/>
          <v:fill focussize="0,0"/>
          <v:stroke/>
          <v:imagedata o:title=""/>
          <o:lock v:ext="edit"/>
        </v:line>
      </w:pict>
    </w:r>
    <w:r>
      <w:pict>
        <v:shape id="_x0000_s3246" o:spid="_x0000_s3246" o:spt="202" type="#_x0000_t202" style="position:absolute;left:0pt;margin-left:0.35pt;margin-top:-0.7pt;height:12.35pt;width:481.55pt;mso-position-horizontal-relative:margin;z-index:-251644928;mso-width-relative:page;mso-height-relative:page;" filled="f" stroked="f" coordsize="21600,21600">
          <v:path/>
          <v:fill on="f" focussize="0,0"/>
          <v:stroke on="f" joinstyle="miter"/>
          <v:imagedata o:title=""/>
          <o:lock v:ext="edit"/>
          <v:textbox inset="0mm,0mm,0mm,0mm">
            <w:txbxContent>
              <w:p>
                <w:pPr>
                  <w:pStyle w:val="22"/>
                  <w:tabs>
                    <w:tab w:val="center" w:pos="4766"/>
                    <w:tab w:val="left" w:pos="6446"/>
                  </w:tabs>
                </w:pPr>
                <w:r>
                  <w:rPr>
                    <w:rFonts w:hint="eastAsia"/>
                  </w:rPr>
                  <w:t>湖南新星项目管理有限公司</w:t>
                </w:r>
                <w:r>
                  <w:tab/>
                </w:r>
                <w:r>
                  <w:tab/>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298" o:spid="_x0000_s3298" o:spt="202" type="#_x0000_t202" style="position:absolute;left:0pt;margin-top:0pt;height:144pt;width:144pt;mso-position-horizontal:center;mso-position-horizontal-relative:margin;mso-wrap-style:none;z-index:251689984;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52</w:t>
                </w:r>
                <w:r>
                  <w:fldChar w:fldCharType="end"/>
                </w:r>
              </w:p>
            </w:txbxContent>
          </v:textbox>
        </v:shape>
      </w:pict>
    </w:r>
    <w:r>
      <w:pict>
        <v:line id="_x0000_s3284" o:spid="_x0000_s3284" o:spt="20" style="position:absolute;left:0pt;margin-left:-1.85pt;margin-top:-8.5pt;height:0.05pt;width:465.75pt;z-index:251675648;mso-width-relative:page;mso-height-relative:page;" filled="t" coordsize="21600,21600">
          <v:path arrowok="t"/>
          <v:fill on="t" focussize="0,0"/>
          <v:stroke/>
          <v:imagedata o:title=""/>
          <o:lock v:ext="edit"/>
        </v:line>
      </w:pict>
    </w:r>
    <w:r>
      <w:rPr>
        <w:rFonts w:hint="eastAsia"/>
      </w:rPr>
      <w:t>湖南新星项目管理有限公司</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299" o:spid="_x0000_s3299"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pict>
        <v:line id="_x0000_s3281" o:spid="_x0000_s3281" o:spt="20" style="position:absolute;left:0pt;flip:y;margin-left:-0.55pt;margin-top:0.75pt;height:1.5pt;width:482.25pt;z-index:251674624;mso-width-relative:page;mso-height-relative:page;" coordsize="21600,21600">
          <v:path arrowok="t"/>
          <v:fill focussize="0,0"/>
          <v:stroke/>
          <v:imagedata o:title=""/>
          <o:lock v:ext="edit"/>
        </v:line>
      </w:pict>
    </w:r>
    <w:r>
      <w:rPr>
        <w:rFonts w:hint="eastAsia"/>
      </w:rPr>
      <w:t>湖南新星项目管理有限公司</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jc w:val="right"/>
    </w:pPr>
    <w:r>
      <w:pict>
        <v:shape id="_x0000_s3300" o:spid="_x0000_s3300"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54</w:t>
                </w:r>
                <w:r>
                  <w:fldChar w:fldCharType="end"/>
                </w:r>
              </w:p>
            </w:txbxContent>
          </v:textbox>
        </v:shape>
      </w:pict>
    </w:r>
    <w:r>
      <w:pict>
        <v:line id="_x0000_s3279" o:spid="_x0000_s3279" o:spt="20" style="position:absolute;left:0pt;margin-left:0.55pt;margin-top:-3.55pt;height:0.05pt;width:469.5pt;z-index:-251648000;mso-width-relative:page;mso-height-relative:page;" coordsize="21600,21600">
          <v:path arrowok="t"/>
          <v:fill focussize="0,0"/>
          <v:stroke/>
          <v:imagedata o:title=""/>
          <o:lock v:ext="edit"/>
        </v:line>
      </w:pict>
    </w:r>
    <w:r>
      <w:rPr>
        <w:rFonts w:hint="eastAsia"/>
      </w:rPr>
      <w:t>湖南新星项目管理有限公司</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301" o:spid="_x0000_s3301"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302" o:spid="_x0000_s3302"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303" o:spid="_x0000_s3303" o:spt="202" type="#_x0000_t202" style="position:absolute;left:0pt;margin-top:0pt;height:144pt;width:144pt;mso-position-horizontal:center;mso-position-horizontal-relative:margin;mso-wrap-style:none;z-index:251695104;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304" o:spid="_x0000_s3304"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rPr>
        <w:rFonts w:hint="eastAsia"/>
      </w:rPr>
      <w:t>湖南新星项目管理有限公司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pict>
        <v:shape id="_x0000_s3286" o:spid="_x0000_s3286" o:spt="202" type="#_x0000_t202" style="position:absolute;left:0pt;margin-top:0pt;height:144pt;width:144pt;mso-position-horizontal:center;mso-position-horizontal-relative:margin;mso-wrap-style:none;z-index:251677696;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pict>
        <v:line id="直线 1026" o:spid="_x0000_s3073" o:spt="20" style="position:absolute;left:0pt;margin-left:-0.15pt;margin-top:-7.85pt;height:0.05pt;width:469.5pt;z-index:251660288;mso-width-relative:page;mso-height-relative:page;" coordsize="21600,21600">
          <v:path arrowok="t"/>
          <v:fill focussize="0,0"/>
          <v:stroke/>
          <v:imagedata o:title=""/>
          <o:lock v:ext="edit"/>
        </v:lin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w:pict>
        <v:shape id="_x0000_s3287" o:spid="_x0000_s3287"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r>
      <w:pict>
        <v:line id="_x0000_s3274" o:spid="_x0000_s3274" o:spt="20" style="position:absolute;left:0pt;margin-left:0.95pt;margin-top:-2.9pt;height:0.75pt;width:480.75pt;z-index:251672576;mso-width-relative:page;mso-height-relative:page;" filled="t" coordsize="21600,21600">
          <v:path arrowok="t"/>
          <v:fill on="t" focussize="0,0"/>
          <v:stroke/>
          <v:imagedata o:title=""/>
          <o:lock v:ext="edit"/>
        </v:line>
      </w:pict>
    </w:r>
    <w:r>
      <w:rPr>
        <w:rFonts w:hint="eastAsia"/>
      </w:rPr>
      <w:t>湖南新星项目管理有限公司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w:pict>
        <v:shape id="_x0000_s3288" o:spid="_x0000_s3288" o:spt="202" type="#_x0000_t202" style="position:absolute;left:0pt;margin-top:0pt;height:144pt;width:144pt;mso-position-horizontal:center;mso-position-horizontal-relative:margin;mso-wrap-style:none;z-index:251679744;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3</w:t>
                </w:r>
                <w:r>
                  <w:fldChar w:fldCharType="end"/>
                </w:r>
              </w:p>
            </w:txbxContent>
          </v:textbox>
        </v:shape>
      </w:pict>
    </w:r>
    <w:r>
      <w:pict>
        <v:line id="_x0000_s3202" o:spid="_x0000_s3202" o:spt="20" style="position:absolute;left:0pt;margin-left:-1.65pt;margin-top:-3.35pt;height:0.05pt;width:483.7pt;z-index:251662336;mso-width-relative:page;mso-height-relative:page;" coordsize="21600,21600">
          <v:path arrowok="t"/>
          <v:fill focussize="0,0"/>
          <v:stroke/>
          <v:imagedata o:title=""/>
          <o:lock v:ext="edit"/>
        </v:line>
      </w:pict>
    </w:r>
    <w:r>
      <w:rPr>
        <w:rFonts w:hint="eastAsia"/>
      </w:rPr>
      <w:t>湖南新星项目管理有限公司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jc w:val="right"/>
    </w:pPr>
    <w:r>
      <w:pict>
        <v:shape id="_x0000_s3289" o:spid="_x0000_s3289" o:spt="202" type="#_x0000_t202" style="position:absolute;left:0pt;margin-top:0pt;height:144pt;width:144pt;mso-position-horizontal:center;mso-position-horizontal-relative:margin;mso-wrap-style:none;z-index:251680768;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2</w:t>
                </w:r>
                <w:r>
                  <w:fldChar w:fldCharType="end"/>
                </w:r>
              </w:p>
            </w:txbxContent>
          </v:textbox>
        </v:shape>
      </w:pict>
    </w:r>
    <w:r>
      <w:pict>
        <v:line id="_x0000_s3204" o:spid="_x0000_s3204" o:spt="20" style="position:absolute;left:0pt;margin-left:-1.7pt;margin-top:-2.8pt;height:0.05pt;width:482.25pt;z-index:251661312;mso-width-relative:page;mso-height-relative:page;" coordsize="21600,21600">
          <v:path arrowok="t"/>
          <v:fill focussize="0,0"/>
          <v:stroke/>
          <v:imagedata o:title=""/>
          <o:lock v:ext="edit"/>
        </v:line>
      </w:pict>
    </w:r>
    <w:r>
      <w:rPr>
        <w:rFonts w:hint="eastAsia"/>
      </w:rPr>
      <w:t>湖南新星项目管理有限公司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w:pict>
        <v:shape id="_x0000_s3290" o:spid="_x0000_s3290" o:spt="202" type="#_x0000_t202" style="position:absolute;left:0pt;margin-top:0pt;height:144pt;width:144pt;mso-position-horizontal:center;mso-position-horizontal-relative:margin;mso-wrap-style:none;z-index:251681792;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15</w:t>
                </w:r>
                <w:r>
                  <w:fldChar w:fldCharType="end"/>
                </w:r>
              </w:p>
            </w:txbxContent>
          </v:textbox>
        </v:shape>
      </w:pict>
    </w:r>
    <w:r>
      <w:pict>
        <v:line id="_x0000_s3275" o:spid="_x0000_s3275" o:spt="20" style="position:absolute;left:0pt;margin-left:0.2pt;margin-top:-1.75pt;height:0.05pt;width:479.25pt;z-index:251673600;mso-width-relative:page;mso-height-relative:page;" filled="t" coordsize="21600,21600">
          <v:path arrowok="t"/>
          <v:fill on="t" focussize="0,0"/>
          <v:stroke/>
          <v:imagedata o:title=""/>
          <o:lock v:ext="edit"/>
        </v:line>
      </w:pict>
    </w:r>
    <w:r>
      <w:rPr>
        <w:rFonts w:hint="eastAsia"/>
      </w:rPr>
      <w:t>湖南新星项目管理有限公司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766"/>
        <w:tab w:val="left" w:pos="6446"/>
      </w:tabs>
    </w:pPr>
    <w:r>
      <w:pict>
        <v:shape id="_x0000_s3291" o:spid="_x0000_s3291" o:spt="202" type="#_x0000_t202" style="position:absolute;left:0pt;margin-top:0pt;height:144pt;width:144pt;mso-position-horizontal:center;mso-position-horizontal-relative:margin;mso-wrap-style:none;z-index:251682816;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14</w:t>
                </w:r>
                <w:r>
                  <w:fldChar w:fldCharType="end"/>
                </w:r>
              </w:p>
            </w:txbxContent>
          </v:textbox>
        </v:shape>
      </w:pict>
    </w:r>
    <w:r>
      <w:pict>
        <v:line id="_x0000_s3112" o:spid="_x0000_s3112" o:spt="20" style="position:absolute;left:0pt;margin-left:-0.2pt;margin-top:-2.05pt;height:0.05pt;width:479.2pt;z-index:251663360;mso-width-relative:page;mso-height-relative:page;" coordsize="21600,21600">
          <v:path arrowok="t"/>
          <v:fill focussize="0,0"/>
          <v:stroke/>
          <v:imagedata o:title=""/>
          <o:lock v:ext="edit"/>
        </v:line>
      </w:pict>
    </w:r>
    <w:r>
      <w:pict>
        <v:shape id="_x0000_s3111" o:spid="_x0000_s3111" o:spt="202" type="#_x0000_t202" style="position:absolute;left:0pt;margin-top:0pt;height:144pt;width:468.85pt;mso-position-horizontal:right;mso-position-horizontal-relative:margin;z-index:251664384;mso-width-relative:page;mso-height-relative:page;" filled="f" stroked="f" coordsize="21600,21600">
          <v:path/>
          <v:fill on="f" focussize="0,0"/>
          <v:stroke on="f" joinstyle="miter"/>
          <v:imagedata o:title=""/>
          <o:lock v:ext="edit"/>
          <v:textbox inset="0mm,0mm,0mm,0mm" style="mso-fit-shape-to-text:t;">
            <w:txbxContent>
              <w:p>
                <w:pPr>
                  <w:pStyle w:val="22"/>
                  <w:tabs>
                    <w:tab w:val="center" w:pos="4766"/>
                    <w:tab w:val="left" w:pos="6446"/>
                  </w:tabs>
                </w:pPr>
                <w:r>
                  <w:rPr>
                    <w:rFonts w:hint="eastAsia"/>
                  </w:rPr>
                  <w:t>湖南新星项目管理有限公司</w:t>
                </w:r>
                <w:r>
                  <w:tab/>
                </w:r>
                <w:r>
                  <w:tab/>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pPr>
    <w:r>
      <w:pict>
        <v:shape id="_x0000_s3292" o:spid="_x0000_s3292" o:spt="202" type="#_x0000_t202" style="position:absolute;left:0pt;margin-top:0pt;height:144pt;width:144pt;mso-position-horizontal:center;mso-position-horizontal-relative:margin;mso-wrap-style:none;z-index:251683840;mso-width-relative:page;mso-height-relative:page;" filled="f" stroked="f" coordsize="21600,21600">
          <v:path/>
          <v:fill on="f" focussize="0,0"/>
          <v:stroke on="f" joinstyle="miter"/>
          <v:imagedata o:title=""/>
          <o:lock v:ext="edit"/>
          <v:textbox inset="0mm,0mm,0mm,0mm" style="mso-fit-shape-to-text:t;">
            <w:txbxContent>
              <w:p>
                <w:pPr>
                  <w:pStyle w:val="22"/>
                </w:pPr>
                <w:r>
                  <w:fldChar w:fldCharType="begin"/>
                </w:r>
                <w:r>
                  <w:instrText xml:space="preserve"> PAGE  \* MERGEFORMAT </w:instrText>
                </w:r>
                <w:r>
                  <w:fldChar w:fldCharType="separate"/>
                </w:r>
                <w:r>
                  <w:t>19</w:t>
                </w:r>
                <w:r>
                  <w:fldChar w:fldCharType="end"/>
                </w:r>
              </w:p>
            </w:txbxContent>
          </v:textbox>
        </v:shape>
      </w:pict>
    </w:r>
    <w:r>
      <w:pict>
        <v:line id="_x0000_s3285" o:spid="_x0000_s3285" o:spt="20" style="position:absolute;left:0pt;margin-left:2pt;margin-top:-4pt;height:0.7pt;width:483.45pt;z-index:251676672;mso-width-relative:page;mso-height-relative:page;" filled="t" coordsize="21600,21600">
          <v:path arrowok="t"/>
          <v:fill on="t" focussize="0,0"/>
          <v:stroke/>
          <v:imagedata o:title=""/>
          <o:lock v:ext="edit"/>
        </v:line>
      </w:pict>
    </w:r>
    <w:r>
      <w:rPr>
        <w:rFonts w:hint="eastAsia"/>
      </w:rPr>
      <w:t>湖南新星项目管理有限公司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r>
      <w:rPr>
        <w:rFonts w:hint="eastAsia" w:ascii="宋体" w:hAnsi="宋体" w:cs="宋体"/>
        <w:u w:val="single"/>
      </w:rPr>
      <w:t xml:space="preserve">保险职业学院学生公寓1、2、3栋整栋、学生公寓9栋13间及部分走道、墙面粉刷工程              </w:t>
    </w:r>
    <w:r>
      <w:rPr>
        <w:rFonts w:hint="eastAsia"/>
        <w:u w:val="single"/>
      </w:rPr>
      <w:t>竞争性谈判文件</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r>
      <w:rPr>
        <w:rFonts w:hint="eastAsia" w:ascii="宋体" w:hAnsi="宋体" w:cs="宋体"/>
        <w:u w:val="single"/>
      </w:rPr>
      <w:t xml:space="preserve">保险职业学院学生公寓1、2、3栋整栋、学生公寓9栋13间及部分走道、墙面粉刷工程               </w:t>
    </w:r>
    <w:r>
      <w:rPr>
        <w:rFonts w:hint="eastAsia"/>
        <w:u w:val="single"/>
      </w:rPr>
      <w:t>竞争性谈判文件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rPr>
        <w:u w:val="single"/>
      </w:rPr>
    </w:pPr>
    <w:r>
      <w:rPr>
        <w:rFonts w:hint="eastAsia" w:ascii="宋体" w:hAnsi="宋体" w:cs="宋体"/>
        <w:u w:val="single"/>
      </w:rPr>
      <w:t xml:space="preserve">保险职业学院学生公寓1、2、3栋整栋、学生公寓9栋13间及部分走道、墙面粉刷工程               </w:t>
    </w:r>
    <w:r>
      <w:rPr>
        <w:rFonts w:hint="eastAsia"/>
        <w:u w:val="single"/>
      </w:rPr>
      <w:t>竞争性谈判文件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r>
      <w:rPr>
        <w:rFonts w:hint="eastAsia"/>
      </w:rPr>
      <w:t>保险职业学院学生公寓1、2、3栋整栋、学生公寓9栋13间及部分走道、墙面粉刷工程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260FA"/>
    <w:multiLevelType w:val="multilevel"/>
    <w:tmpl w:val="646260FA"/>
    <w:lvl w:ilvl="0" w:tentative="0">
      <w:start w:val="1"/>
      <w:numFmt w:val="decimal"/>
      <w:pStyle w:val="66"/>
      <w:suff w:val="nothing"/>
      <w:lvlText w:val="表%1　"/>
      <w:lvlJc w:val="left"/>
      <w:rPr>
        <w:rFonts w:hint="eastAsia" w:ascii="宋体" w:hAnsi="宋体" w:eastAsia="宋体" w:cs="Times New Roman"/>
        <w:b w:val="0"/>
        <w:bCs w:val="0"/>
        <w:i w:val="0"/>
        <w:iCs w:val="0"/>
        <w:sz w:val="21"/>
        <w:szCs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68D928FB"/>
    <w:multiLevelType w:val="multilevel"/>
    <w:tmpl w:val="68D928FB"/>
    <w:lvl w:ilvl="0" w:tentative="0">
      <w:start w:val="1"/>
      <w:numFmt w:val="japaneseCounting"/>
      <w:lvlText w:val="%1、"/>
      <w:lvlJc w:val="left"/>
      <w:pPr>
        <w:tabs>
          <w:tab w:val="left" w:pos="1260"/>
        </w:tabs>
        <w:ind w:left="1260" w:hanging="720"/>
      </w:pPr>
      <w:rPr>
        <w:rFonts w:hint="eastAsia" w:cs="Times New Roman"/>
      </w:rPr>
    </w:lvl>
    <w:lvl w:ilvl="1" w:tentative="0">
      <w:start w:val="1"/>
      <w:numFmt w:val="lowerLetter"/>
      <w:pStyle w:val="5"/>
      <w:lvlText w:val="%2)"/>
      <w:lvlJc w:val="left"/>
      <w:pPr>
        <w:tabs>
          <w:tab w:val="left" w:pos="1380"/>
        </w:tabs>
        <w:ind w:left="1380" w:hanging="420"/>
      </w:pPr>
      <w:rPr>
        <w:rFonts w:cs="Times New Roman"/>
      </w:rPr>
    </w:lvl>
    <w:lvl w:ilvl="2" w:tentative="0">
      <w:start w:val="1"/>
      <w:numFmt w:val="lowerRoman"/>
      <w:pStyle w:val="6"/>
      <w:lvlText w:val="%3."/>
      <w:lvlJc w:val="right"/>
      <w:pPr>
        <w:tabs>
          <w:tab w:val="left" w:pos="1800"/>
        </w:tabs>
        <w:ind w:left="1800" w:hanging="420"/>
      </w:pPr>
      <w:rPr>
        <w:rFonts w:cs="Times New Roman"/>
      </w:rPr>
    </w:lvl>
    <w:lvl w:ilvl="3" w:tentative="0">
      <w:start w:val="1"/>
      <w:numFmt w:val="decimal"/>
      <w:lvlText w:val="%4."/>
      <w:lvlJc w:val="left"/>
      <w:pPr>
        <w:tabs>
          <w:tab w:val="left" w:pos="2220"/>
        </w:tabs>
        <w:ind w:left="2220" w:hanging="420"/>
      </w:pPr>
      <w:rPr>
        <w:rFonts w:cs="Times New Roman"/>
      </w:rPr>
    </w:lvl>
    <w:lvl w:ilvl="4" w:tentative="0">
      <w:start w:val="1"/>
      <w:numFmt w:val="lowerLetter"/>
      <w:lvlText w:val="%5)"/>
      <w:lvlJc w:val="left"/>
      <w:pPr>
        <w:tabs>
          <w:tab w:val="left" w:pos="2640"/>
        </w:tabs>
        <w:ind w:left="2640" w:hanging="420"/>
      </w:pPr>
      <w:rPr>
        <w:rFonts w:cs="Times New Roman"/>
      </w:rPr>
    </w:lvl>
    <w:lvl w:ilvl="5" w:tentative="0">
      <w:start w:val="1"/>
      <w:numFmt w:val="lowerRoman"/>
      <w:lvlText w:val="%6."/>
      <w:lvlJc w:val="right"/>
      <w:pPr>
        <w:tabs>
          <w:tab w:val="left" w:pos="3060"/>
        </w:tabs>
        <w:ind w:left="3060" w:hanging="420"/>
      </w:pPr>
      <w:rPr>
        <w:rFonts w:cs="Times New Roman"/>
      </w:rPr>
    </w:lvl>
    <w:lvl w:ilvl="6" w:tentative="0">
      <w:start w:val="1"/>
      <w:numFmt w:val="decimal"/>
      <w:lvlText w:val="%7."/>
      <w:lvlJc w:val="left"/>
      <w:pPr>
        <w:tabs>
          <w:tab w:val="left" w:pos="3480"/>
        </w:tabs>
        <w:ind w:left="3480" w:hanging="420"/>
      </w:pPr>
      <w:rPr>
        <w:rFonts w:cs="Times New Roman"/>
      </w:rPr>
    </w:lvl>
    <w:lvl w:ilvl="7" w:tentative="0">
      <w:start w:val="1"/>
      <w:numFmt w:val="lowerLetter"/>
      <w:lvlText w:val="%8)"/>
      <w:lvlJc w:val="left"/>
      <w:pPr>
        <w:tabs>
          <w:tab w:val="left" w:pos="3900"/>
        </w:tabs>
        <w:ind w:left="3900" w:hanging="420"/>
      </w:pPr>
      <w:rPr>
        <w:rFonts w:cs="Times New Roman"/>
      </w:rPr>
    </w:lvl>
    <w:lvl w:ilvl="8" w:tentative="0">
      <w:start w:val="1"/>
      <w:numFmt w:val="lowerRoman"/>
      <w:lvlText w:val="%9."/>
      <w:lvlJc w:val="right"/>
      <w:pPr>
        <w:tabs>
          <w:tab w:val="left" w:pos="4320"/>
        </w:tabs>
        <w:ind w:left="43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1,3"/>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DNlYzJiODNmNGNmYTkwYmM0ZmEwNTIyNTUyZTExYTgifQ=="/>
  </w:docVars>
  <w:rsids>
    <w:rsidRoot w:val="004C5DAE"/>
    <w:rsid w:val="00000702"/>
    <w:rsid w:val="000010CA"/>
    <w:rsid w:val="00004447"/>
    <w:rsid w:val="000050BB"/>
    <w:rsid w:val="0000649F"/>
    <w:rsid w:val="000103D1"/>
    <w:rsid w:val="0001137B"/>
    <w:rsid w:val="00011AE2"/>
    <w:rsid w:val="000122A8"/>
    <w:rsid w:val="00012478"/>
    <w:rsid w:val="00013538"/>
    <w:rsid w:val="000139FD"/>
    <w:rsid w:val="00014EEC"/>
    <w:rsid w:val="00016D6A"/>
    <w:rsid w:val="0001776B"/>
    <w:rsid w:val="00017D4C"/>
    <w:rsid w:val="00020F73"/>
    <w:rsid w:val="00022145"/>
    <w:rsid w:val="000229D1"/>
    <w:rsid w:val="00023270"/>
    <w:rsid w:val="0002370D"/>
    <w:rsid w:val="00023AD7"/>
    <w:rsid w:val="00024702"/>
    <w:rsid w:val="000248C3"/>
    <w:rsid w:val="0002511D"/>
    <w:rsid w:val="0002565B"/>
    <w:rsid w:val="0002586C"/>
    <w:rsid w:val="00027DDC"/>
    <w:rsid w:val="00030689"/>
    <w:rsid w:val="00030CB2"/>
    <w:rsid w:val="000342CA"/>
    <w:rsid w:val="000357FC"/>
    <w:rsid w:val="00036374"/>
    <w:rsid w:val="00037BAE"/>
    <w:rsid w:val="000405FD"/>
    <w:rsid w:val="00041B65"/>
    <w:rsid w:val="000425E3"/>
    <w:rsid w:val="00044281"/>
    <w:rsid w:val="00044B31"/>
    <w:rsid w:val="00044FC7"/>
    <w:rsid w:val="00045767"/>
    <w:rsid w:val="000517C1"/>
    <w:rsid w:val="00051C0B"/>
    <w:rsid w:val="00051C5E"/>
    <w:rsid w:val="00051F89"/>
    <w:rsid w:val="00053673"/>
    <w:rsid w:val="00053BC8"/>
    <w:rsid w:val="000559B5"/>
    <w:rsid w:val="00056CE5"/>
    <w:rsid w:val="0005751F"/>
    <w:rsid w:val="000605B6"/>
    <w:rsid w:val="00064397"/>
    <w:rsid w:val="00065CD5"/>
    <w:rsid w:val="00066E32"/>
    <w:rsid w:val="000670C2"/>
    <w:rsid w:val="00072441"/>
    <w:rsid w:val="000738AB"/>
    <w:rsid w:val="00073FC4"/>
    <w:rsid w:val="0007512C"/>
    <w:rsid w:val="00075950"/>
    <w:rsid w:val="00076AB3"/>
    <w:rsid w:val="00076C11"/>
    <w:rsid w:val="00076D6D"/>
    <w:rsid w:val="00077537"/>
    <w:rsid w:val="00077FCC"/>
    <w:rsid w:val="000800A9"/>
    <w:rsid w:val="000803B6"/>
    <w:rsid w:val="0008194E"/>
    <w:rsid w:val="00082178"/>
    <w:rsid w:val="00082EF7"/>
    <w:rsid w:val="000832A6"/>
    <w:rsid w:val="00084258"/>
    <w:rsid w:val="00084E77"/>
    <w:rsid w:val="000852E2"/>
    <w:rsid w:val="00085342"/>
    <w:rsid w:val="00086B99"/>
    <w:rsid w:val="00087B6E"/>
    <w:rsid w:val="00087D4D"/>
    <w:rsid w:val="00090AD0"/>
    <w:rsid w:val="00090B05"/>
    <w:rsid w:val="0009194D"/>
    <w:rsid w:val="00091D2A"/>
    <w:rsid w:val="0009276B"/>
    <w:rsid w:val="0009286C"/>
    <w:rsid w:val="000942DD"/>
    <w:rsid w:val="00095478"/>
    <w:rsid w:val="0009654E"/>
    <w:rsid w:val="00096D62"/>
    <w:rsid w:val="000A24FB"/>
    <w:rsid w:val="000A2A40"/>
    <w:rsid w:val="000A3370"/>
    <w:rsid w:val="000A41D2"/>
    <w:rsid w:val="000A59CF"/>
    <w:rsid w:val="000A623E"/>
    <w:rsid w:val="000A7459"/>
    <w:rsid w:val="000A79C2"/>
    <w:rsid w:val="000A7A93"/>
    <w:rsid w:val="000B11F6"/>
    <w:rsid w:val="000B2B1D"/>
    <w:rsid w:val="000B357C"/>
    <w:rsid w:val="000B47BD"/>
    <w:rsid w:val="000B490B"/>
    <w:rsid w:val="000B5A9E"/>
    <w:rsid w:val="000B6DCA"/>
    <w:rsid w:val="000C42A4"/>
    <w:rsid w:val="000C45D2"/>
    <w:rsid w:val="000C49B4"/>
    <w:rsid w:val="000C5494"/>
    <w:rsid w:val="000C76B8"/>
    <w:rsid w:val="000D174D"/>
    <w:rsid w:val="000D2413"/>
    <w:rsid w:val="000D48F4"/>
    <w:rsid w:val="000D52AD"/>
    <w:rsid w:val="000D5D66"/>
    <w:rsid w:val="000D640D"/>
    <w:rsid w:val="000E049B"/>
    <w:rsid w:val="000E3479"/>
    <w:rsid w:val="000E3B98"/>
    <w:rsid w:val="000E5005"/>
    <w:rsid w:val="000E53B8"/>
    <w:rsid w:val="000E5712"/>
    <w:rsid w:val="000E58CC"/>
    <w:rsid w:val="000E5968"/>
    <w:rsid w:val="000E5B10"/>
    <w:rsid w:val="000F031D"/>
    <w:rsid w:val="000F037D"/>
    <w:rsid w:val="000F14AE"/>
    <w:rsid w:val="000F3074"/>
    <w:rsid w:val="000F76B9"/>
    <w:rsid w:val="001016D4"/>
    <w:rsid w:val="00101A4D"/>
    <w:rsid w:val="00101EA7"/>
    <w:rsid w:val="00102B02"/>
    <w:rsid w:val="00102BE4"/>
    <w:rsid w:val="00106335"/>
    <w:rsid w:val="00106B71"/>
    <w:rsid w:val="001072C3"/>
    <w:rsid w:val="001105CA"/>
    <w:rsid w:val="00111C98"/>
    <w:rsid w:val="001121BA"/>
    <w:rsid w:val="00112A75"/>
    <w:rsid w:val="00113771"/>
    <w:rsid w:val="00114012"/>
    <w:rsid w:val="0011471B"/>
    <w:rsid w:val="00114ADA"/>
    <w:rsid w:val="0011636C"/>
    <w:rsid w:val="001172C6"/>
    <w:rsid w:val="00117736"/>
    <w:rsid w:val="00117923"/>
    <w:rsid w:val="001206D4"/>
    <w:rsid w:val="00120C7C"/>
    <w:rsid w:val="0012123E"/>
    <w:rsid w:val="00123255"/>
    <w:rsid w:val="00123AB1"/>
    <w:rsid w:val="00124EBD"/>
    <w:rsid w:val="00125E0F"/>
    <w:rsid w:val="00126467"/>
    <w:rsid w:val="00126912"/>
    <w:rsid w:val="00130B6B"/>
    <w:rsid w:val="00131D07"/>
    <w:rsid w:val="00131ED7"/>
    <w:rsid w:val="00132C33"/>
    <w:rsid w:val="00132E2F"/>
    <w:rsid w:val="00133412"/>
    <w:rsid w:val="0013519E"/>
    <w:rsid w:val="001357F1"/>
    <w:rsid w:val="00135FB5"/>
    <w:rsid w:val="00136D4A"/>
    <w:rsid w:val="0013734F"/>
    <w:rsid w:val="00137D52"/>
    <w:rsid w:val="00142471"/>
    <w:rsid w:val="00142A69"/>
    <w:rsid w:val="00143B62"/>
    <w:rsid w:val="00144207"/>
    <w:rsid w:val="00144AA3"/>
    <w:rsid w:val="00144E4D"/>
    <w:rsid w:val="0014502A"/>
    <w:rsid w:val="00145324"/>
    <w:rsid w:val="00145429"/>
    <w:rsid w:val="00147584"/>
    <w:rsid w:val="00150ED4"/>
    <w:rsid w:val="00153209"/>
    <w:rsid w:val="001536EA"/>
    <w:rsid w:val="00155EB5"/>
    <w:rsid w:val="00156B13"/>
    <w:rsid w:val="0015704E"/>
    <w:rsid w:val="00157C03"/>
    <w:rsid w:val="0016397B"/>
    <w:rsid w:val="00166D57"/>
    <w:rsid w:val="00170617"/>
    <w:rsid w:val="0017094B"/>
    <w:rsid w:val="00171A04"/>
    <w:rsid w:val="00173A50"/>
    <w:rsid w:val="0017639F"/>
    <w:rsid w:val="001763DF"/>
    <w:rsid w:val="00177BB1"/>
    <w:rsid w:val="00180BC0"/>
    <w:rsid w:val="00180C5F"/>
    <w:rsid w:val="00181A31"/>
    <w:rsid w:val="00182160"/>
    <w:rsid w:val="001849F9"/>
    <w:rsid w:val="00184F78"/>
    <w:rsid w:val="00187801"/>
    <w:rsid w:val="001901BF"/>
    <w:rsid w:val="001904D3"/>
    <w:rsid w:val="00193C2D"/>
    <w:rsid w:val="00194869"/>
    <w:rsid w:val="001964DD"/>
    <w:rsid w:val="00196886"/>
    <w:rsid w:val="00196D33"/>
    <w:rsid w:val="001972F0"/>
    <w:rsid w:val="00197580"/>
    <w:rsid w:val="001A43A8"/>
    <w:rsid w:val="001A53B9"/>
    <w:rsid w:val="001A5410"/>
    <w:rsid w:val="001A553E"/>
    <w:rsid w:val="001A5D59"/>
    <w:rsid w:val="001A71CE"/>
    <w:rsid w:val="001B1EEF"/>
    <w:rsid w:val="001B49F9"/>
    <w:rsid w:val="001B627F"/>
    <w:rsid w:val="001C12F9"/>
    <w:rsid w:val="001C2AF9"/>
    <w:rsid w:val="001C41DA"/>
    <w:rsid w:val="001C4BC1"/>
    <w:rsid w:val="001C50D1"/>
    <w:rsid w:val="001C73C3"/>
    <w:rsid w:val="001C7FE8"/>
    <w:rsid w:val="001D0509"/>
    <w:rsid w:val="001D0B31"/>
    <w:rsid w:val="001D0B4B"/>
    <w:rsid w:val="001D16D4"/>
    <w:rsid w:val="001D1C93"/>
    <w:rsid w:val="001D2E49"/>
    <w:rsid w:val="001D3B8A"/>
    <w:rsid w:val="001D3DC8"/>
    <w:rsid w:val="001D4746"/>
    <w:rsid w:val="001D4B8B"/>
    <w:rsid w:val="001D62F7"/>
    <w:rsid w:val="001E0485"/>
    <w:rsid w:val="001E0863"/>
    <w:rsid w:val="001E0FAF"/>
    <w:rsid w:val="001E24F9"/>
    <w:rsid w:val="001E2503"/>
    <w:rsid w:val="001E2D28"/>
    <w:rsid w:val="001E2E4D"/>
    <w:rsid w:val="001E4D98"/>
    <w:rsid w:val="001E4E1C"/>
    <w:rsid w:val="001E622D"/>
    <w:rsid w:val="001E6E21"/>
    <w:rsid w:val="001E719E"/>
    <w:rsid w:val="001E7FA5"/>
    <w:rsid w:val="001F08FE"/>
    <w:rsid w:val="001F0F3E"/>
    <w:rsid w:val="001F64C9"/>
    <w:rsid w:val="001F75AA"/>
    <w:rsid w:val="002003A4"/>
    <w:rsid w:val="00211F6F"/>
    <w:rsid w:val="002149B7"/>
    <w:rsid w:val="0021547F"/>
    <w:rsid w:val="002161BD"/>
    <w:rsid w:val="00220263"/>
    <w:rsid w:val="002207D0"/>
    <w:rsid w:val="00220933"/>
    <w:rsid w:val="002209C7"/>
    <w:rsid w:val="002209E8"/>
    <w:rsid w:val="00220B49"/>
    <w:rsid w:val="00221F97"/>
    <w:rsid w:val="002231F6"/>
    <w:rsid w:val="00225B88"/>
    <w:rsid w:val="00225C1B"/>
    <w:rsid w:val="00225DD9"/>
    <w:rsid w:val="00225FCE"/>
    <w:rsid w:val="002304F4"/>
    <w:rsid w:val="00231683"/>
    <w:rsid w:val="00233120"/>
    <w:rsid w:val="002336A3"/>
    <w:rsid w:val="00234359"/>
    <w:rsid w:val="0023545E"/>
    <w:rsid w:val="002357D2"/>
    <w:rsid w:val="002417E7"/>
    <w:rsid w:val="00242A53"/>
    <w:rsid w:val="002435ED"/>
    <w:rsid w:val="00244441"/>
    <w:rsid w:val="00244A9F"/>
    <w:rsid w:val="002500D9"/>
    <w:rsid w:val="002501D2"/>
    <w:rsid w:val="0025046B"/>
    <w:rsid w:val="00250F29"/>
    <w:rsid w:val="002525A8"/>
    <w:rsid w:val="002543D9"/>
    <w:rsid w:val="00254776"/>
    <w:rsid w:val="00256AA7"/>
    <w:rsid w:val="00256AD7"/>
    <w:rsid w:val="00256CE6"/>
    <w:rsid w:val="00257E55"/>
    <w:rsid w:val="002607A0"/>
    <w:rsid w:val="002616D6"/>
    <w:rsid w:val="00261866"/>
    <w:rsid w:val="00261933"/>
    <w:rsid w:val="0026322C"/>
    <w:rsid w:val="0026536D"/>
    <w:rsid w:val="00265C8C"/>
    <w:rsid w:val="0027305E"/>
    <w:rsid w:val="00273592"/>
    <w:rsid w:val="00274028"/>
    <w:rsid w:val="00274E6C"/>
    <w:rsid w:val="00275352"/>
    <w:rsid w:val="002813AC"/>
    <w:rsid w:val="0028239C"/>
    <w:rsid w:val="0028322F"/>
    <w:rsid w:val="0028364A"/>
    <w:rsid w:val="002845C0"/>
    <w:rsid w:val="0028608A"/>
    <w:rsid w:val="00286EB3"/>
    <w:rsid w:val="00287DD4"/>
    <w:rsid w:val="00290010"/>
    <w:rsid w:val="00290204"/>
    <w:rsid w:val="00290D67"/>
    <w:rsid w:val="002910E2"/>
    <w:rsid w:val="00291A91"/>
    <w:rsid w:val="0029250D"/>
    <w:rsid w:val="0029285C"/>
    <w:rsid w:val="00292E6B"/>
    <w:rsid w:val="0029343C"/>
    <w:rsid w:val="00296773"/>
    <w:rsid w:val="00296D91"/>
    <w:rsid w:val="00297034"/>
    <w:rsid w:val="002A0D00"/>
    <w:rsid w:val="002A4CDE"/>
    <w:rsid w:val="002A5B31"/>
    <w:rsid w:val="002A6901"/>
    <w:rsid w:val="002A6A2B"/>
    <w:rsid w:val="002A6FF1"/>
    <w:rsid w:val="002A70AD"/>
    <w:rsid w:val="002A7E23"/>
    <w:rsid w:val="002B156E"/>
    <w:rsid w:val="002B34EA"/>
    <w:rsid w:val="002B3AE8"/>
    <w:rsid w:val="002B3CB5"/>
    <w:rsid w:val="002B46D1"/>
    <w:rsid w:val="002B5661"/>
    <w:rsid w:val="002C00C4"/>
    <w:rsid w:val="002C0ADD"/>
    <w:rsid w:val="002C10F5"/>
    <w:rsid w:val="002C1388"/>
    <w:rsid w:val="002C1BAB"/>
    <w:rsid w:val="002C761D"/>
    <w:rsid w:val="002D09C8"/>
    <w:rsid w:val="002D1081"/>
    <w:rsid w:val="002D1C17"/>
    <w:rsid w:val="002D26D4"/>
    <w:rsid w:val="002D2893"/>
    <w:rsid w:val="002D5BA8"/>
    <w:rsid w:val="002D7654"/>
    <w:rsid w:val="002E004E"/>
    <w:rsid w:val="002E0852"/>
    <w:rsid w:val="002E2D76"/>
    <w:rsid w:val="002E48E7"/>
    <w:rsid w:val="002E658C"/>
    <w:rsid w:val="002E70F9"/>
    <w:rsid w:val="002F2147"/>
    <w:rsid w:val="002F3216"/>
    <w:rsid w:val="002F327B"/>
    <w:rsid w:val="002F3940"/>
    <w:rsid w:val="002F4AAD"/>
    <w:rsid w:val="002F6BCE"/>
    <w:rsid w:val="002F6F09"/>
    <w:rsid w:val="002F71C2"/>
    <w:rsid w:val="00301FED"/>
    <w:rsid w:val="00303049"/>
    <w:rsid w:val="003040C8"/>
    <w:rsid w:val="00304ABB"/>
    <w:rsid w:val="003059E7"/>
    <w:rsid w:val="00311568"/>
    <w:rsid w:val="003115B1"/>
    <w:rsid w:val="0031244A"/>
    <w:rsid w:val="00312825"/>
    <w:rsid w:val="00315727"/>
    <w:rsid w:val="00315B78"/>
    <w:rsid w:val="00315C71"/>
    <w:rsid w:val="00316053"/>
    <w:rsid w:val="003163B4"/>
    <w:rsid w:val="0031683D"/>
    <w:rsid w:val="00316A82"/>
    <w:rsid w:val="00317CB2"/>
    <w:rsid w:val="00321A72"/>
    <w:rsid w:val="003251B3"/>
    <w:rsid w:val="00330AA6"/>
    <w:rsid w:val="00330F38"/>
    <w:rsid w:val="0033183B"/>
    <w:rsid w:val="00332BA3"/>
    <w:rsid w:val="003330D2"/>
    <w:rsid w:val="00334155"/>
    <w:rsid w:val="00334A30"/>
    <w:rsid w:val="00334C31"/>
    <w:rsid w:val="003362FB"/>
    <w:rsid w:val="00340511"/>
    <w:rsid w:val="0034173F"/>
    <w:rsid w:val="00342227"/>
    <w:rsid w:val="003429FE"/>
    <w:rsid w:val="003431F7"/>
    <w:rsid w:val="003434F5"/>
    <w:rsid w:val="003438AD"/>
    <w:rsid w:val="00343BA7"/>
    <w:rsid w:val="00344274"/>
    <w:rsid w:val="00344442"/>
    <w:rsid w:val="0034548B"/>
    <w:rsid w:val="0034581E"/>
    <w:rsid w:val="00345965"/>
    <w:rsid w:val="00345C2F"/>
    <w:rsid w:val="003466A1"/>
    <w:rsid w:val="00346843"/>
    <w:rsid w:val="00347165"/>
    <w:rsid w:val="00347909"/>
    <w:rsid w:val="0035007A"/>
    <w:rsid w:val="00351078"/>
    <w:rsid w:val="0035107F"/>
    <w:rsid w:val="0035121E"/>
    <w:rsid w:val="00353363"/>
    <w:rsid w:val="0035445E"/>
    <w:rsid w:val="00356DA7"/>
    <w:rsid w:val="00360471"/>
    <w:rsid w:val="00360F35"/>
    <w:rsid w:val="00360F8A"/>
    <w:rsid w:val="00361001"/>
    <w:rsid w:val="00361E94"/>
    <w:rsid w:val="0036624C"/>
    <w:rsid w:val="003664A8"/>
    <w:rsid w:val="00366CD4"/>
    <w:rsid w:val="003672AB"/>
    <w:rsid w:val="00367C8C"/>
    <w:rsid w:val="00370036"/>
    <w:rsid w:val="003705F9"/>
    <w:rsid w:val="003709C5"/>
    <w:rsid w:val="00370EAC"/>
    <w:rsid w:val="00372B13"/>
    <w:rsid w:val="00372CC5"/>
    <w:rsid w:val="00374707"/>
    <w:rsid w:val="003748ED"/>
    <w:rsid w:val="00376021"/>
    <w:rsid w:val="00376866"/>
    <w:rsid w:val="003774C3"/>
    <w:rsid w:val="00381066"/>
    <w:rsid w:val="00382319"/>
    <w:rsid w:val="00383C56"/>
    <w:rsid w:val="003868DC"/>
    <w:rsid w:val="00386B52"/>
    <w:rsid w:val="00393078"/>
    <w:rsid w:val="0039442C"/>
    <w:rsid w:val="00394FE4"/>
    <w:rsid w:val="003977EE"/>
    <w:rsid w:val="003A021F"/>
    <w:rsid w:val="003A05F5"/>
    <w:rsid w:val="003A066C"/>
    <w:rsid w:val="003A14E3"/>
    <w:rsid w:val="003A50E9"/>
    <w:rsid w:val="003A63F4"/>
    <w:rsid w:val="003A63FA"/>
    <w:rsid w:val="003A6D74"/>
    <w:rsid w:val="003B11F3"/>
    <w:rsid w:val="003B3C08"/>
    <w:rsid w:val="003B4F8D"/>
    <w:rsid w:val="003B62B4"/>
    <w:rsid w:val="003B6984"/>
    <w:rsid w:val="003C0463"/>
    <w:rsid w:val="003C2266"/>
    <w:rsid w:val="003C4DF0"/>
    <w:rsid w:val="003C4ED0"/>
    <w:rsid w:val="003C50E7"/>
    <w:rsid w:val="003C6814"/>
    <w:rsid w:val="003C7F4D"/>
    <w:rsid w:val="003D0C46"/>
    <w:rsid w:val="003D18AB"/>
    <w:rsid w:val="003D2AB5"/>
    <w:rsid w:val="003D4BC8"/>
    <w:rsid w:val="003D639F"/>
    <w:rsid w:val="003D6406"/>
    <w:rsid w:val="003D6CE7"/>
    <w:rsid w:val="003D6DF8"/>
    <w:rsid w:val="003E0F80"/>
    <w:rsid w:val="003E17BC"/>
    <w:rsid w:val="003E27D4"/>
    <w:rsid w:val="003E3B87"/>
    <w:rsid w:val="003E5257"/>
    <w:rsid w:val="003E6D72"/>
    <w:rsid w:val="003E6DD7"/>
    <w:rsid w:val="003E6EF9"/>
    <w:rsid w:val="003F1433"/>
    <w:rsid w:val="003F14D8"/>
    <w:rsid w:val="003F2764"/>
    <w:rsid w:val="003F296B"/>
    <w:rsid w:val="003F2D4A"/>
    <w:rsid w:val="003F4D2A"/>
    <w:rsid w:val="003F57B5"/>
    <w:rsid w:val="003F5C1F"/>
    <w:rsid w:val="003F7E17"/>
    <w:rsid w:val="003F7F4A"/>
    <w:rsid w:val="004008FA"/>
    <w:rsid w:val="00402183"/>
    <w:rsid w:val="004033CA"/>
    <w:rsid w:val="00403FE0"/>
    <w:rsid w:val="0040470E"/>
    <w:rsid w:val="00404931"/>
    <w:rsid w:val="00407824"/>
    <w:rsid w:val="00410975"/>
    <w:rsid w:val="00411B9E"/>
    <w:rsid w:val="00412216"/>
    <w:rsid w:val="004125B0"/>
    <w:rsid w:val="00414374"/>
    <w:rsid w:val="00414C9C"/>
    <w:rsid w:val="004152E7"/>
    <w:rsid w:val="00417F41"/>
    <w:rsid w:val="00420F07"/>
    <w:rsid w:val="004212E8"/>
    <w:rsid w:val="00421FDD"/>
    <w:rsid w:val="00422379"/>
    <w:rsid w:val="00422F91"/>
    <w:rsid w:val="004249D1"/>
    <w:rsid w:val="00426153"/>
    <w:rsid w:val="00430148"/>
    <w:rsid w:val="004302DA"/>
    <w:rsid w:val="0043094B"/>
    <w:rsid w:val="0043529E"/>
    <w:rsid w:val="00435883"/>
    <w:rsid w:val="00436D64"/>
    <w:rsid w:val="00440A65"/>
    <w:rsid w:val="00440AE3"/>
    <w:rsid w:val="00440EA9"/>
    <w:rsid w:val="00441147"/>
    <w:rsid w:val="004412DE"/>
    <w:rsid w:val="00441815"/>
    <w:rsid w:val="00441E7C"/>
    <w:rsid w:val="004420C1"/>
    <w:rsid w:val="00442E3F"/>
    <w:rsid w:val="004442B9"/>
    <w:rsid w:val="0044654F"/>
    <w:rsid w:val="00446724"/>
    <w:rsid w:val="0045036C"/>
    <w:rsid w:val="00452BDA"/>
    <w:rsid w:val="004563B6"/>
    <w:rsid w:val="00456484"/>
    <w:rsid w:val="00456906"/>
    <w:rsid w:val="00456A4D"/>
    <w:rsid w:val="004613C2"/>
    <w:rsid w:val="0046248C"/>
    <w:rsid w:val="004628F0"/>
    <w:rsid w:val="00463094"/>
    <w:rsid w:val="0046341A"/>
    <w:rsid w:val="004634AD"/>
    <w:rsid w:val="004638FA"/>
    <w:rsid w:val="00464817"/>
    <w:rsid w:val="00464E4E"/>
    <w:rsid w:val="0046589A"/>
    <w:rsid w:val="00467124"/>
    <w:rsid w:val="004675DD"/>
    <w:rsid w:val="00467A76"/>
    <w:rsid w:val="00467CD8"/>
    <w:rsid w:val="0047185D"/>
    <w:rsid w:val="00471CD3"/>
    <w:rsid w:val="00472978"/>
    <w:rsid w:val="00473465"/>
    <w:rsid w:val="004739F7"/>
    <w:rsid w:val="00475A76"/>
    <w:rsid w:val="0047623B"/>
    <w:rsid w:val="004801BD"/>
    <w:rsid w:val="00481B73"/>
    <w:rsid w:val="00481DC5"/>
    <w:rsid w:val="00482804"/>
    <w:rsid w:val="004837DD"/>
    <w:rsid w:val="004854AB"/>
    <w:rsid w:val="00485754"/>
    <w:rsid w:val="00485CD3"/>
    <w:rsid w:val="00486726"/>
    <w:rsid w:val="0048675D"/>
    <w:rsid w:val="00486D6F"/>
    <w:rsid w:val="004874B6"/>
    <w:rsid w:val="00492975"/>
    <w:rsid w:val="00492CD0"/>
    <w:rsid w:val="00493285"/>
    <w:rsid w:val="00493308"/>
    <w:rsid w:val="004938B8"/>
    <w:rsid w:val="00493A82"/>
    <w:rsid w:val="00494408"/>
    <w:rsid w:val="0049640B"/>
    <w:rsid w:val="004966F6"/>
    <w:rsid w:val="0049703D"/>
    <w:rsid w:val="004A11D3"/>
    <w:rsid w:val="004A21F6"/>
    <w:rsid w:val="004A2ADF"/>
    <w:rsid w:val="004A37BE"/>
    <w:rsid w:val="004A4835"/>
    <w:rsid w:val="004A6A09"/>
    <w:rsid w:val="004A6ED4"/>
    <w:rsid w:val="004B09FB"/>
    <w:rsid w:val="004B0BE6"/>
    <w:rsid w:val="004B0C5A"/>
    <w:rsid w:val="004B0E5F"/>
    <w:rsid w:val="004B0ECE"/>
    <w:rsid w:val="004B1103"/>
    <w:rsid w:val="004B16F4"/>
    <w:rsid w:val="004B329E"/>
    <w:rsid w:val="004B58CE"/>
    <w:rsid w:val="004B5ADB"/>
    <w:rsid w:val="004B5B00"/>
    <w:rsid w:val="004B724C"/>
    <w:rsid w:val="004C1B11"/>
    <w:rsid w:val="004C28B2"/>
    <w:rsid w:val="004C2B15"/>
    <w:rsid w:val="004C2E9E"/>
    <w:rsid w:val="004C3184"/>
    <w:rsid w:val="004C4A9D"/>
    <w:rsid w:val="004C4E8C"/>
    <w:rsid w:val="004C5DAE"/>
    <w:rsid w:val="004C6991"/>
    <w:rsid w:val="004C6A80"/>
    <w:rsid w:val="004C7D03"/>
    <w:rsid w:val="004D00D2"/>
    <w:rsid w:val="004D0555"/>
    <w:rsid w:val="004D10A4"/>
    <w:rsid w:val="004D137E"/>
    <w:rsid w:val="004D141C"/>
    <w:rsid w:val="004D157C"/>
    <w:rsid w:val="004D1A71"/>
    <w:rsid w:val="004D214B"/>
    <w:rsid w:val="004D260D"/>
    <w:rsid w:val="004D3A99"/>
    <w:rsid w:val="004D4367"/>
    <w:rsid w:val="004D4ADE"/>
    <w:rsid w:val="004D7567"/>
    <w:rsid w:val="004E08E0"/>
    <w:rsid w:val="004E1AD7"/>
    <w:rsid w:val="004E2FB3"/>
    <w:rsid w:val="004E307F"/>
    <w:rsid w:val="004E375B"/>
    <w:rsid w:val="004E5D04"/>
    <w:rsid w:val="004E5D2C"/>
    <w:rsid w:val="004E5EDA"/>
    <w:rsid w:val="004F0179"/>
    <w:rsid w:val="004F0731"/>
    <w:rsid w:val="004F0CE4"/>
    <w:rsid w:val="004F13AD"/>
    <w:rsid w:val="004F2605"/>
    <w:rsid w:val="004F4180"/>
    <w:rsid w:val="004F4E5C"/>
    <w:rsid w:val="004F5011"/>
    <w:rsid w:val="004F6708"/>
    <w:rsid w:val="004F7551"/>
    <w:rsid w:val="004F7768"/>
    <w:rsid w:val="004F7FD0"/>
    <w:rsid w:val="005004A4"/>
    <w:rsid w:val="00500CC3"/>
    <w:rsid w:val="00501106"/>
    <w:rsid w:val="005020CA"/>
    <w:rsid w:val="00503229"/>
    <w:rsid w:val="005046F0"/>
    <w:rsid w:val="00506619"/>
    <w:rsid w:val="005074B6"/>
    <w:rsid w:val="0050768F"/>
    <w:rsid w:val="00507D43"/>
    <w:rsid w:val="00511B19"/>
    <w:rsid w:val="00511C91"/>
    <w:rsid w:val="0051282C"/>
    <w:rsid w:val="00513052"/>
    <w:rsid w:val="00513F1C"/>
    <w:rsid w:val="00515509"/>
    <w:rsid w:val="005170FA"/>
    <w:rsid w:val="0051719F"/>
    <w:rsid w:val="00521BFF"/>
    <w:rsid w:val="0052431E"/>
    <w:rsid w:val="005248B3"/>
    <w:rsid w:val="00525E1C"/>
    <w:rsid w:val="00526EE9"/>
    <w:rsid w:val="00526F7E"/>
    <w:rsid w:val="00527D4B"/>
    <w:rsid w:val="00531BAD"/>
    <w:rsid w:val="00532133"/>
    <w:rsid w:val="0053325E"/>
    <w:rsid w:val="005337D7"/>
    <w:rsid w:val="00533967"/>
    <w:rsid w:val="005342CA"/>
    <w:rsid w:val="005343D2"/>
    <w:rsid w:val="005353FE"/>
    <w:rsid w:val="00536789"/>
    <w:rsid w:val="00536FE1"/>
    <w:rsid w:val="00537578"/>
    <w:rsid w:val="00537C04"/>
    <w:rsid w:val="00540F80"/>
    <w:rsid w:val="00541845"/>
    <w:rsid w:val="005427C4"/>
    <w:rsid w:val="00543AC4"/>
    <w:rsid w:val="00544B15"/>
    <w:rsid w:val="00545C0B"/>
    <w:rsid w:val="005508EF"/>
    <w:rsid w:val="00550D5B"/>
    <w:rsid w:val="005519E8"/>
    <w:rsid w:val="005532E9"/>
    <w:rsid w:val="00553547"/>
    <w:rsid w:val="00553C95"/>
    <w:rsid w:val="005544E6"/>
    <w:rsid w:val="00554FDA"/>
    <w:rsid w:val="00555E4B"/>
    <w:rsid w:val="00555F20"/>
    <w:rsid w:val="0055677D"/>
    <w:rsid w:val="005627D6"/>
    <w:rsid w:val="005628D6"/>
    <w:rsid w:val="00563A93"/>
    <w:rsid w:val="0056609C"/>
    <w:rsid w:val="00566992"/>
    <w:rsid w:val="00566D38"/>
    <w:rsid w:val="005673DD"/>
    <w:rsid w:val="00570614"/>
    <w:rsid w:val="005717FB"/>
    <w:rsid w:val="00572706"/>
    <w:rsid w:val="00573917"/>
    <w:rsid w:val="00573EAB"/>
    <w:rsid w:val="00574247"/>
    <w:rsid w:val="00576524"/>
    <w:rsid w:val="00577A79"/>
    <w:rsid w:val="005804F8"/>
    <w:rsid w:val="00581E6D"/>
    <w:rsid w:val="00581F2C"/>
    <w:rsid w:val="00582438"/>
    <w:rsid w:val="00582AD6"/>
    <w:rsid w:val="00586CA0"/>
    <w:rsid w:val="005875A4"/>
    <w:rsid w:val="00591634"/>
    <w:rsid w:val="005940CD"/>
    <w:rsid w:val="0059419C"/>
    <w:rsid w:val="00596576"/>
    <w:rsid w:val="00596603"/>
    <w:rsid w:val="00596EA2"/>
    <w:rsid w:val="005973C0"/>
    <w:rsid w:val="00597647"/>
    <w:rsid w:val="005A03B9"/>
    <w:rsid w:val="005A1C98"/>
    <w:rsid w:val="005A2DE1"/>
    <w:rsid w:val="005A31EA"/>
    <w:rsid w:val="005A4507"/>
    <w:rsid w:val="005A6068"/>
    <w:rsid w:val="005A6E65"/>
    <w:rsid w:val="005A6FFB"/>
    <w:rsid w:val="005A7430"/>
    <w:rsid w:val="005A78DF"/>
    <w:rsid w:val="005B17B5"/>
    <w:rsid w:val="005B3A69"/>
    <w:rsid w:val="005B47F2"/>
    <w:rsid w:val="005B54BB"/>
    <w:rsid w:val="005B69D0"/>
    <w:rsid w:val="005B6BCF"/>
    <w:rsid w:val="005B72C3"/>
    <w:rsid w:val="005B7431"/>
    <w:rsid w:val="005C0F92"/>
    <w:rsid w:val="005C10D7"/>
    <w:rsid w:val="005C299E"/>
    <w:rsid w:val="005C397D"/>
    <w:rsid w:val="005C486E"/>
    <w:rsid w:val="005C5CD6"/>
    <w:rsid w:val="005C602C"/>
    <w:rsid w:val="005C603C"/>
    <w:rsid w:val="005C63CE"/>
    <w:rsid w:val="005C7A1B"/>
    <w:rsid w:val="005C7C78"/>
    <w:rsid w:val="005C7CDA"/>
    <w:rsid w:val="005C7EB3"/>
    <w:rsid w:val="005D0895"/>
    <w:rsid w:val="005D08A2"/>
    <w:rsid w:val="005D0BD4"/>
    <w:rsid w:val="005D15B0"/>
    <w:rsid w:val="005D3586"/>
    <w:rsid w:val="005E01A6"/>
    <w:rsid w:val="005E132D"/>
    <w:rsid w:val="005E1D34"/>
    <w:rsid w:val="005E2251"/>
    <w:rsid w:val="005E2AAF"/>
    <w:rsid w:val="005E3B98"/>
    <w:rsid w:val="005E3CAE"/>
    <w:rsid w:val="005E4639"/>
    <w:rsid w:val="005E52E4"/>
    <w:rsid w:val="005E6568"/>
    <w:rsid w:val="005E65B5"/>
    <w:rsid w:val="005E7D08"/>
    <w:rsid w:val="005F06B7"/>
    <w:rsid w:val="005F4AD8"/>
    <w:rsid w:val="005F4FB0"/>
    <w:rsid w:val="005F698A"/>
    <w:rsid w:val="005F726A"/>
    <w:rsid w:val="006002A0"/>
    <w:rsid w:val="00600CEB"/>
    <w:rsid w:val="006019FA"/>
    <w:rsid w:val="0060341E"/>
    <w:rsid w:val="00603EB7"/>
    <w:rsid w:val="006040BC"/>
    <w:rsid w:val="006046C1"/>
    <w:rsid w:val="00604F53"/>
    <w:rsid w:val="0060501B"/>
    <w:rsid w:val="00605536"/>
    <w:rsid w:val="00606AFA"/>
    <w:rsid w:val="00607A32"/>
    <w:rsid w:val="00607E5D"/>
    <w:rsid w:val="00607EE2"/>
    <w:rsid w:val="00610292"/>
    <w:rsid w:val="00610DBA"/>
    <w:rsid w:val="0061290B"/>
    <w:rsid w:val="0061407B"/>
    <w:rsid w:val="00614647"/>
    <w:rsid w:val="00615514"/>
    <w:rsid w:val="006162C7"/>
    <w:rsid w:val="006165E5"/>
    <w:rsid w:val="00617827"/>
    <w:rsid w:val="00617D1D"/>
    <w:rsid w:val="00620635"/>
    <w:rsid w:val="006211DA"/>
    <w:rsid w:val="006218EC"/>
    <w:rsid w:val="00621CEF"/>
    <w:rsid w:val="00623879"/>
    <w:rsid w:val="00623CC7"/>
    <w:rsid w:val="006252C4"/>
    <w:rsid w:val="0062703F"/>
    <w:rsid w:val="00627817"/>
    <w:rsid w:val="00627F61"/>
    <w:rsid w:val="00630A1A"/>
    <w:rsid w:val="006321FF"/>
    <w:rsid w:val="00633861"/>
    <w:rsid w:val="00633F09"/>
    <w:rsid w:val="00634037"/>
    <w:rsid w:val="00634321"/>
    <w:rsid w:val="00634875"/>
    <w:rsid w:val="00635604"/>
    <w:rsid w:val="006370CF"/>
    <w:rsid w:val="0063752E"/>
    <w:rsid w:val="006376B2"/>
    <w:rsid w:val="006378DF"/>
    <w:rsid w:val="00637DC9"/>
    <w:rsid w:val="00637E7D"/>
    <w:rsid w:val="00642538"/>
    <w:rsid w:val="00644A2B"/>
    <w:rsid w:val="00644B60"/>
    <w:rsid w:val="00644B6C"/>
    <w:rsid w:val="00646C7D"/>
    <w:rsid w:val="00647BF8"/>
    <w:rsid w:val="00647D84"/>
    <w:rsid w:val="00650D41"/>
    <w:rsid w:val="0065232C"/>
    <w:rsid w:val="00653A3E"/>
    <w:rsid w:val="006549A0"/>
    <w:rsid w:val="00654CAF"/>
    <w:rsid w:val="00655306"/>
    <w:rsid w:val="006565A9"/>
    <w:rsid w:val="006575F4"/>
    <w:rsid w:val="00661B2F"/>
    <w:rsid w:val="00663D86"/>
    <w:rsid w:val="00663E93"/>
    <w:rsid w:val="006670A0"/>
    <w:rsid w:val="00667396"/>
    <w:rsid w:val="00667E47"/>
    <w:rsid w:val="006701DB"/>
    <w:rsid w:val="00671FC9"/>
    <w:rsid w:val="00672ABC"/>
    <w:rsid w:val="0067479D"/>
    <w:rsid w:val="00674957"/>
    <w:rsid w:val="006763B4"/>
    <w:rsid w:val="00676AE4"/>
    <w:rsid w:val="006776E3"/>
    <w:rsid w:val="006809DD"/>
    <w:rsid w:val="00681E2B"/>
    <w:rsid w:val="00682B7C"/>
    <w:rsid w:val="00682C53"/>
    <w:rsid w:val="0068387B"/>
    <w:rsid w:val="0068547B"/>
    <w:rsid w:val="006856BC"/>
    <w:rsid w:val="006863A4"/>
    <w:rsid w:val="006873F9"/>
    <w:rsid w:val="006906D1"/>
    <w:rsid w:val="00691013"/>
    <w:rsid w:val="00691232"/>
    <w:rsid w:val="00693889"/>
    <w:rsid w:val="006940C5"/>
    <w:rsid w:val="006945F9"/>
    <w:rsid w:val="00696D09"/>
    <w:rsid w:val="006977A5"/>
    <w:rsid w:val="006A228C"/>
    <w:rsid w:val="006A438E"/>
    <w:rsid w:val="006A4DD9"/>
    <w:rsid w:val="006A4E42"/>
    <w:rsid w:val="006A6E66"/>
    <w:rsid w:val="006A7D3A"/>
    <w:rsid w:val="006A7F09"/>
    <w:rsid w:val="006B0135"/>
    <w:rsid w:val="006B03D3"/>
    <w:rsid w:val="006B299A"/>
    <w:rsid w:val="006B337E"/>
    <w:rsid w:val="006B36CC"/>
    <w:rsid w:val="006B43A2"/>
    <w:rsid w:val="006B5634"/>
    <w:rsid w:val="006B5875"/>
    <w:rsid w:val="006B6CE7"/>
    <w:rsid w:val="006C0356"/>
    <w:rsid w:val="006C18BC"/>
    <w:rsid w:val="006C2E58"/>
    <w:rsid w:val="006C50BD"/>
    <w:rsid w:val="006D06D0"/>
    <w:rsid w:val="006D2692"/>
    <w:rsid w:val="006D4DF9"/>
    <w:rsid w:val="006D5114"/>
    <w:rsid w:val="006D73F7"/>
    <w:rsid w:val="006E0942"/>
    <w:rsid w:val="006E0CD4"/>
    <w:rsid w:val="006E13D9"/>
    <w:rsid w:val="006E15C4"/>
    <w:rsid w:val="006E5D06"/>
    <w:rsid w:val="006E5D26"/>
    <w:rsid w:val="006E6C6C"/>
    <w:rsid w:val="006F0F82"/>
    <w:rsid w:val="006F1F48"/>
    <w:rsid w:val="006F2B4D"/>
    <w:rsid w:val="006F43AF"/>
    <w:rsid w:val="006F59F6"/>
    <w:rsid w:val="006F7B8F"/>
    <w:rsid w:val="0070020D"/>
    <w:rsid w:val="00701D79"/>
    <w:rsid w:val="0070470F"/>
    <w:rsid w:val="00706F62"/>
    <w:rsid w:val="00707084"/>
    <w:rsid w:val="00707540"/>
    <w:rsid w:val="00710C96"/>
    <w:rsid w:val="00711009"/>
    <w:rsid w:val="007110E9"/>
    <w:rsid w:val="00711145"/>
    <w:rsid w:val="00711E41"/>
    <w:rsid w:val="00712385"/>
    <w:rsid w:val="007131F0"/>
    <w:rsid w:val="00713D33"/>
    <w:rsid w:val="00715490"/>
    <w:rsid w:val="0071774D"/>
    <w:rsid w:val="00717950"/>
    <w:rsid w:val="007218FE"/>
    <w:rsid w:val="00721B8D"/>
    <w:rsid w:val="0072292C"/>
    <w:rsid w:val="00723CB1"/>
    <w:rsid w:val="00724031"/>
    <w:rsid w:val="00724184"/>
    <w:rsid w:val="00724653"/>
    <w:rsid w:val="0072481B"/>
    <w:rsid w:val="00724D42"/>
    <w:rsid w:val="00725CE3"/>
    <w:rsid w:val="00726C2F"/>
    <w:rsid w:val="0073045E"/>
    <w:rsid w:val="00730655"/>
    <w:rsid w:val="00732448"/>
    <w:rsid w:val="0073304E"/>
    <w:rsid w:val="007407E4"/>
    <w:rsid w:val="00740DF9"/>
    <w:rsid w:val="007432ED"/>
    <w:rsid w:val="00744CED"/>
    <w:rsid w:val="00746D8C"/>
    <w:rsid w:val="0074709F"/>
    <w:rsid w:val="00747216"/>
    <w:rsid w:val="00747F79"/>
    <w:rsid w:val="00751CCC"/>
    <w:rsid w:val="00752671"/>
    <w:rsid w:val="0075327E"/>
    <w:rsid w:val="00753CCF"/>
    <w:rsid w:val="007548AE"/>
    <w:rsid w:val="00757092"/>
    <w:rsid w:val="00760E9D"/>
    <w:rsid w:val="00763C8F"/>
    <w:rsid w:val="00763DBC"/>
    <w:rsid w:val="007646D3"/>
    <w:rsid w:val="00765ED8"/>
    <w:rsid w:val="00766853"/>
    <w:rsid w:val="00766DB9"/>
    <w:rsid w:val="0077069B"/>
    <w:rsid w:val="00771CE8"/>
    <w:rsid w:val="007724CA"/>
    <w:rsid w:val="0077260F"/>
    <w:rsid w:val="00773388"/>
    <w:rsid w:val="00775877"/>
    <w:rsid w:val="00775D67"/>
    <w:rsid w:val="00776DF0"/>
    <w:rsid w:val="00780EDA"/>
    <w:rsid w:val="007811AB"/>
    <w:rsid w:val="00782869"/>
    <w:rsid w:val="00782FC9"/>
    <w:rsid w:val="007837DD"/>
    <w:rsid w:val="007840E7"/>
    <w:rsid w:val="00785E5C"/>
    <w:rsid w:val="007865F1"/>
    <w:rsid w:val="00786DAA"/>
    <w:rsid w:val="00786E0E"/>
    <w:rsid w:val="007902D7"/>
    <w:rsid w:val="00790677"/>
    <w:rsid w:val="00790870"/>
    <w:rsid w:val="00792551"/>
    <w:rsid w:val="0079364C"/>
    <w:rsid w:val="00793E89"/>
    <w:rsid w:val="00793F9A"/>
    <w:rsid w:val="00794267"/>
    <w:rsid w:val="00795E25"/>
    <w:rsid w:val="00795FB5"/>
    <w:rsid w:val="00796286"/>
    <w:rsid w:val="0079670B"/>
    <w:rsid w:val="00796CE8"/>
    <w:rsid w:val="00797CC7"/>
    <w:rsid w:val="007A0062"/>
    <w:rsid w:val="007A056F"/>
    <w:rsid w:val="007A083D"/>
    <w:rsid w:val="007A1209"/>
    <w:rsid w:val="007A1EDB"/>
    <w:rsid w:val="007A24CF"/>
    <w:rsid w:val="007A27C5"/>
    <w:rsid w:val="007A461F"/>
    <w:rsid w:val="007A48A8"/>
    <w:rsid w:val="007A538A"/>
    <w:rsid w:val="007A5FA4"/>
    <w:rsid w:val="007A7351"/>
    <w:rsid w:val="007B22CC"/>
    <w:rsid w:val="007B7A51"/>
    <w:rsid w:val="007C0137"/>
    <w:rsid w:val="007C57E5"/>
    <w:rsid w:val="007D0571"/>
    <w:rsid w:val="007D059A"/>
    <w:rsid w:val="007D0A3D"/>
    <w:rsid w:val="007D1BB8"/>
    <w:rsid w:val="007D3A74"/>
    <w:rsid w:val="007D4C8B"/>
    <w:rsid w:val="007D545F"/>
    <w:rsid w:val="007D7012"/>
    <w:rsid w:val="007E0242"/>
    <w:rsid w:val="007E22BE"/>
    <w:rsid w:val="007E257E"/>
    <w:rsid w:val="007E26E4"/>
    <w:rsid w:val="007E28E7"/>
    <w:rsid w:val="007E36A5"/>
    <w:rsid w:val="007E3A83"/>
    <w:rsid w:val="007E3D9E"/>
    <w:rsid w:val="007E4958"/>
    <w:rsid w:val="007E61C2"/>
    <w:rsid w:val="007E643B"/>
    <w:rsid w:val="007E7735"/>
    <w:rsid w:val="007F0D9E"/>
    <w:rsid w:val="007F11A3"/>
    <w:rsid w:val="007F1A2E"/>
    <w:rsid w:val="007F37D2"/>
    <w:rsid w:val="007F39C3"/>
    <w:rsid w:val="007F3B13"/>
    <w:rsid w:val="007F4455"/>
    <w:rsid w:val="007F5686"/>
    <w:rsid w:val="007F6B7C"/>
    <w:rsid w:val="0080005C"/>
    <w:rsid w:val="008000BF"/>
    <w:rsid w:val="00800C3C"/>
    <w:rsid w:val="00800ED4"/>
    <w:rsid w:val="00803161"/>
    <w:rsid w:val="008045C6"/>
    <w:rsid w:val="00805A5B"/>
    <w:rsid w:val="00806907"/>
    <w:rsid w:val="008076FE"/>
    <w:rsid w:val="00810AEF"/>
    <w:rsid w:val="0081139F"/>
    <w:rsid w:val="00812B33"/>
    <w:rsid w:val="00812EFE"/>
    <w:rsid w:val="0081315B"/>
    <w:rsid w:val="008133E1"/>
    <w:rsid w:val="008141F5"/>
    <w:rsid w:val="00814A7F"/>
    <w:rsid w:val="00814D80"/>
    <w:rsid w:val="00815A00"/>
    <w:rsid w:val="00815BFA"/>
    <w:rsid w:val="008168B7"/>
    <w:rsid w:val="00816FC9"/>
    <w:rsid w:val="008202D0"/>
    <w:rsid w:val="00820908"/>
    <w:rsid w:val="00820A16"/>
    <w:rsid w:val="008219C2"/>
    <w:rsid w:val="008236B8"/>
    <w:rsid w:val="00823D57"/>
    <w:rsid w:val="00823EFF"/>
    <w:rsid w:val="00830053"/>
    <w:rsid w:val="00832FB3"/>
    <w:rsid w:val="00833370"/>
    <w:rsid w:val="00833C54"/>
    <w:rsid w:val="008354D1"/>
    <w:rsid w:val="008362F2"/>
    <w:rsid w:val="00836DD2"/>
    <w:rsid w:val="008414F8"/>
    <w:rsid w:val="00842D3B"/>
    <w:rsid w:val="0084312D"/>
    <w:rsid w:val="00843EC0"/>
    <w:rsid w:val="00843F9E"/>
    <w:rsid w:val="00844353"/>
    <w:rsid w:val="00846B8A"/>
    <w:rsid w:val="00847012"/>
    <w:rsid w:val="0085093E"/>
    <w:rsid w:val="0085266E"/>
    <w:rsid w:val="0085274D"/>
    <w:rsid w:val="00853C47"/>
    <w:rsid w:val="0085459C"/>
    <w:rsid w:val="008548D4"/>
    <w:rsid w:val="00855DB3"/>
    <w:rsid w:val="008568B2"/>
    <w:rsid w:val="00856F4C"/>
    <w:rsid w:val="008579C8"/>
    <w:rsid w:val="008579E0"/>
    <w:rsid w:val="00857B92"/>
    <w:rsid w:val="0086015C"/>
    <w:rsid w:val="008627C0"/>
    <w:rsid w:val="008637A1"/>
    <w:rsid w:val="00864162"/>
    <w:rsid w:val="0086437E"/>
    <w:rsid w:val="0086574E"/>
    <w:rsid w:val="00866307"/>
    <w:rsid w:val="00866EF0"/>
    <w:rsid w:val="008675DD"/>
    <w:rsid w:val="008712E7"/>
    <w:rsid w:val="00871F78"/>
    <w:rsid w:val="00874A1A"/>
    <w:rsid w:val="00876B1B"/>
    <w:rsid w:val="00876BAB"/>
    <w:rsid w:val="008774CB"/>
    <w:rsid w:val="00882C02"/>
    <w:rsid w:val="00882FDD"/>
    <w:rsid w:val="008848A7"/>
    <w:rsid w:val="008861F9"/>
    <w:rsid w:val="00886F12"/>
    <w:rsid w:val="00890055"/>
    <w:rsid w:val="00890F74"/>
    <w:rsid w:val="00890FB5"/>
    <w:rsid w:val="008924D4"/>
    <w:rsid w:val="00893B85"/>
    <w:rsid w:val="00893C91"/>
    <w:rsid w:val="00895A24"/>
    <w:rsid w:val="00895C62"/>
    <w:rsid w:val="00897268"/>
    <w:rsid w:val="0089731B"/>
    <w:rsid w:val="008978E1"/>
    <w:rsid w:val="008A09B5"/>
    <w:rsid w:val="008A0D6B"/>
    <w:rsid w:val="008A1088"/>
    <w:rsid w:val="008A10DA"/>
    <w:rsid w:val="008A1ADA"/>
    <w:rsid w:val="008A2753"/>
    <w:rsid w:val="008A2F72"/>
    <w:rsid w:val="008A3284"/>
    <w:rsid w:val="008A462B"/>
    <w:rsid w:val="008A6329"/>
    <w:rsid w:val="008B011E"/>
    <w:rsid w:val="008B1193"/>
    <w:rsid w:val="008B182D"/>
    <w:rsid w:val="008B2B1D"/>
    <w:rsid w:val="008B359B"/>
    <w:rsid w:val="008B397B"/>
    <w:rsid w:val="008B4D0B"/>
    <w:rsid w:val="008B59A3"/>
    <w:rsid w:val="008B5F35"/>
    <w:rsid w:val="008B6AA5"/>
    <w:rsid w:val="008B725E"/>
    <w:rsid w:val="008B73A9"/>
    <w:rsid w:val="008C143D"/>
    <w:rsid w:val="008C15F3"/>
    <w:rsid w:val="008C27D5"/>
    <w:rsid w:val="008C2888"/>
    <w:rsid w:val="008C410F"/>
    <w:rsid w:val="008C4954"/>
    <w:rsid w:val="008C49DC"/>
    <w:rsid w:val="008C5316"/>
    <w:rsid w:val="008C6EB2"/>
    <w:rsid w:val="008C7CD1"/>
    <w:rsid w:val="008D1D0E"/>
    <w:rsid w:val="008D23F8"/>
    <w:rsid w:val="008D2538"/>
    <w:rsid w:val="008D3AFA"/>
    <w:rsid w:val="008D3F56"/>
    <w:rsid w:val="008D60B5"/>
    <w:rsid w:val="008D63B0"/>
    <w:rsid w:val="008D6497"/>
    <w:rsid w:val="008E025F"/>
    <w:rsid w:val="008E21E2"/>
    <w:rsid w:val="008E2CE5"/>
    <w:rsid w:val="008E30CF"/>
    <w:rsid w:val="008E327E"/>
    <w:rsid w:val="008E37CC"/>
    <w:rsid w:val="008E47AC"/>
    <w:rsid w:val="008E522A"/>
    <w:rsid w:val="008E595A"/>
    <w:rsid w:val="008E6DF1"/>
    <w:rsid w:val="008E72BD"/>
    <w:rsid w:val="008E773A"/>
    <w:rsid w:val="008F2576"/>
    <w:rsid w:val="008F390C"/>
    <w:rsid w:val="008F5ED3"/>
    <w:rsid w:val="008F7381"/>
    <w:rsid w:val="008F7BBD"/>
    <w:rsid w:val="009012BE"/>
    <w:rsid w:val="00901325"/>
    <w:rsid w:val="009014BC"/>
    <w:rsid w:val="00901AA1"/>
    <w:rsid w:val="00902C82"/>
    <w:rsid w:val="00903135"/>
    <w:rsid w:val="0090408B"/>
    <w:rsid w:val="009040D1"/>
    <w:rsid w:val="00905321"/>
    <w:rsid w:val="0090613C"/>
    <w:rsid w:val="009075F0"/>
    <w:rsid w:val="00907A44"/>
    <w:rsid w:val="0091062C"/>
    <w:rsid w:val="00911700"/>
    <w:rsid w:val="00911E61"/>
    <w:rsid w:val="00912042"/>
    <w:rsid w:val="009124E1"/>
    <w:rsid w:val="009131C1"/>
    <w:rsid w:val="00914629"/>
    <w:rsid w:val="009205E0"/>
    <w:rsid w:val="00920BB5"/>
    <w:rsid w:val="009232CB"/>
    <w:rsid w:val="00925488"/>
    <w:rsid w:val="009256AD"/>
    <w:rsid w:val="00926E61"/>
    <w:rsid w:val="009302A2"/>
    <w:rsid w:val="0093163E"/>
    <w:rsid w:val="0093312A"/>
    <w:rsid w:val="009342AE"/>
    <w:rsid w:val="00935AC2"/>
    <w:rsid w:val="00936C14"/>
    <w:rsid w:val="00936FCE"/>
    <w:rsid w:val="00944DBE"/>
    <w:rsid w:val="00945936"/>
    <w:rsid w:val="009459D6"/>
    <w:rsid w:val="00945F81"/>
    <w:rsid w:val="0094735C"/>
    <w:rsid w:val="00947CF8"/>
    <w:rsid w:val="009520B8"/>
    <w:rsid w:val="0095235B"/>
    <w:rsid w:val="0095299F"/>
    <w:rsid w:val="00953307"/>
    <w:rsid w:val="00953B0B"/>
    <w:rsid w:val="0095633B"/>
    <w:rsid w:val="00956FD6"/>
    <w:rsid w:val="00957E6B"/>
    <w:rsid w:val="0096164E"/>
    <w:rsid w:val="0096270B"/>
    <w:rsid w:val="00962826"/>
    <w:rsid w:val="009657F3"/>
    <w:rsid w:val="00970763"/>
    <w:rsid w:val="00971DA9"/>
    <w:rsid w:val="00974CFA"/>
    <w:rsid w:val="00975A77"/>
    <w:rsid w:val="00975DC6"/>
    <w:rsid w:val="00975EB9"/>
    <w:rsid w:val="009774D8"/>
    <w:rsid w:val="00981A51"/>
    <w:rsid w:val="00985D47"/>
    <w:rsid w:val="00987421"/>
    <w:rsid w:val="009901BC"/>
    <w:rsid w:val="009917D5"/>
    <w:rsid w:val="00991D4F"/>
    <w:rsid w:val="00992803"/>
    <w:rsid w:val="00992C3F"/>
    <w:rsid w:val="00993D26"/>
    <w:rsid w:val="00993F2C"/>
    <w:rsid w:val="00997B6F"/>
    <w:rsid w:val="00997CAE"/>
    <w:rsid w:val="009A13DA"/>
    <w:rsid w:val="009A194F"/>
    <w:rsid w:val="009A2429"/>
    <w:rsid w:val="009A4E59"/>
    <w:rsid w:val="009A6A4C"/>
    <w:rsid w:val="009A6F70"/>
    <w:rsid w:val="009A7A4A"/>
    <w:rsid w:val="009A7E26"/>
    <w:rsid w:val="009B35FC"/>
    <w:rsid w:val="009B400A"/>
    <w:rsid w:val="009B4B08"/>
    <w:rsid w:val="009B4B34"/>
    <w:rsid w:val="009B771F"/>
    <w:rsid w:val="009C1F58"/>
    <w:rsid w:val="009C22D5"/>
    <w:rsid w:val="009C3236"/>
    <w:rsid w:val="009C525F"/>
    <w:rsid w:val="009C5661"/>
    <w:rsid w:val="009C56D2"/>
    <w:rsid w:val="009C6C18"/>
    <w:rsid w:val="009C7835"/>
    <w:rsid w:val="009C7952"/>
    <w:rsid w:val="009C7F31"/>
    <w:rsid w:val="009D0960"/>
    <w:rsid w:val="009D17C9"/>
    <w:rsid w:val="009D20FF"/>
    <w:rsid w:val="009D26EF"/>
    <w:rsid w:val="009D27D5"/>
    <w:rsid w:val="009D30BE"/>
    <w:rsid w:val="009D3B66"/>
    <w:rsid w:val="009D450E"/>
    <w:rsid w:val="009D5CBF"/>
    <w:rsid w:val="009D6D7E"/>
    <w:rsid w:val="009D6E4C"/>
    <w:rsid w:val="009D7EA4"/>
    <w:rsid w:val="009E4148"/>
    <w:rsid w:val="009E4913"/>
    <w:rsid w:val="009E51E1"/>
    <w:rsid w:val="009E5D65"/>
    <w:rsid w:val="009E623A"/>
    <w:rsid w:val="009E7CCB"/>
    <w:rsid w:val="009F0B3B"/>
    <w:rsid w:val="009F0D5F"/>
    <w:rsid w:val="009F2220"/>
    <w:rsid w:val="009F3A4E"/>
    <w:rsid w:val="009F3CC0"/>
    <w:rsid w:val="009F45DC"/>
    <w:rsid w:val="009F55FF"/>
    <w:rsid w:val="009F565D"/>
    <w:rsid w:val="009F615B"/>
    <w:rsid w:val="009F6A7A"/>
    <w:rsid w:val="009F7E3D"/>
    <w:rsid w:val="00A01410"/>
    <w:rsid w:val="00A01C91"/>
    <w:rsid w:val="00A02785"/>
    <w:rsid w:val="00A02967"/>
    <w:rsid w:val="00A045A2"/>
    <w:rsid w:val="00A07316"/>
    <w:rsid w:val="00A110B5"/>
    <w:rsid w:val="00A11405"/>
    <w:rsid w:val="00A11632"/>
    <w:rsid w:val="00A12268"/>
    <w:rsid w:val="00A13465"/>
    <w:rsid w:val="00A134F2"/>
    <w:rsid w:val="00A231AF"/>
    <w:rsid w:val="00A233BA"/>
    <w:rsid w:val="00A24580"/>
    <w:rsid w:val="00A27BA0"/>
    <w:rsid w:val="00A3208F"/>
    <w:rsid w:val="00A329FB"/>
    <w:rsid w:val="00A32EAF"/>
    <w:rsid w:val="00A33B9E"/>
    <w:rsid w:val="00A3403B"/>
    <w:rsid w:val="00A3695F"/>
    <w:rsid w:val="00A36B08"/>
    <w:rsid w:val="00A377A1"/>
    <w:rsid w:val="00A37B63"/>
    <w:rsid w:val="00A401A8"/>
    <w:rsid w:val="00A40A31"/>
    <w:rsid w:val="00A40C26"/>
    <w:rsid w:val="00A41403"/>
    <w:rsid w:val="00A42D3E"/>
    <w:rsid w:val="00A43706"/>
    <w:rsid w:val="00A4381E"/>
    <w:rsid w:val="00A43B8C"/>
    <w:rsid w:val="00A444BB"/>
    <w:rsid w:val="00A4478D"/>
    <w:rsid w:val="00A45763"/>
    <w:rsid w:val="00A45BE5"/>
    <w:rsid w:val="00A464A4"/>
    <w:rsid w:val="00A51499"/>
    <w:rsid w:val="00A515B3"/>
    <w:rsid w:val="00A5495A"/>
    <w:rsid w:val="00A5577C"/>
    <w:rsid w:val="00A557B9"/>
    <w:rsid w:val="00A55CC4"/>
    <w:rsid w:val="00A55D82"/>
    <w:rsid w:val="00A563F3"/>
    <w:rsid w:val="00A56820"/>
    <w:rsid w:val="00A60C0F"/>
    <w:rsid w:val="00A61C05"/>
    <w:rsid w:val="00A62EAA"/>
    <w:rsid w:val="00A634DF"/>
    <w:rsid w:val="00A6427B"/>
    <w:rsid w:val="00A643C7"/>
    <w:rsid w:val="00A666DC"/>
    <w:rsid w:val="00A6766D"/>
    <w:rsid w:val="00A67BBF"/>
    <w:rsid w:val="00A7037D"/>
    <w:rsid w:val="00A709FC"/>
    <w:rsid w:val="00A721D8"/>
    <w:rsid w:val="00A72270"/>
    <w:rsid w:val="00A72594"/>
    <w:rsid w:val="00A725BC"/>
    <w:rsid w:val="00A73267"/>
    <w:rsid w:val="00A73DE2"/>
    <w:rsid w:val="00A74F6C"/>
    <w:rsid w:val="00A75692"/>
    <w:rsid w:val="00A75AAE"/>
    <w:rsid w:val="00A80519"/>
    <w:rsid w:val="00A806FE"/>
    <w:rsid w:val="00A81244"/>
    <w:rsid w:val="00A8233A"/>
    <w:rsid w:val="00A83A84"/>
    <w:rsid w:val="00A83B20"/>
    <w:rsid w:val="00A84199"/>
    <w:rsid w:val="00A85C3A"/>
    <w:rsid w:val="00A864FF"/>
    <w:rsid w:val="00A87A27"/>
    <w:rsid w:val="00A932D2"/>
    <w:rsid w:val="00A9424C"/>
    <w:rsid w:val="00A94FB1"/>
    <w:rsid w:val="00A966E9"/>
    <w:rsid w:val="00A97424"/>
    <w:rsid w:val="00A976DB"/>
    <w:rsid w:val="00AA0A94"/>
    <w:rsid w:val="00AA0D01"/>
    <w:rsid w:val="00AA1D51"/>
    <w:rsid w:val="00AA36D7"/>
    <w:rsid w:val="00AA43DE"/>
    <w:rsid w:val="00AA571B"/>
    <w:rsid w:val="00AA6350"/>
    <w:rsid w:val="00AB0992"/>
    <w:rsid w:val="00AB1D37"/>
    <w:rsid w:val="00AB23E6"/>
    <w:rsid w:val="00AB3421"/>
    <w:rsid w:val="00AB36CC"/>
    <w:rsid w:val="00AB48E8"/>
    <w:rsid w:val="00AB49CE"/>
    <w:rsid w:val="00AB6E19"/>
    <w:rsid w:val="00AB6F0C"/>
    <w:rsid w:val="00AB72C1"/>
    <w:rsid w:val="00AB7D99"/>
    <w:rsid w:val="00AC0DD2"/>
    <w:rsid w:val="00AC15CC"/>
    <w:rsid w:val="00AC278B"/>
    <w:rsid w:val="00AC2ADF"/>
    <w:rsid w:val="00AC46BF"/>
    <w:rsid w:val="00AC7A68"/>
    <w:rsid w:val="00AD0EC9"/>
    <w:rsid w:val="00AD136C"/>
    <w:rsid w:val="00AD1A00"/>
    <w:rsid w:val="00AD3014"/>
    <w:rsid w:val="00AD54BE"/>
    <w:rsid w:val="00AD5D5A"/>
    <w:rsid w:val="00AE0AC9"/>
    <w:rsid w:val="00AE1FEF"/>
    <w:rsid w:val="00AE2164"/>
    <w:rsid w:val="00AE2521"/>
    <w:rsid w:val="00AE4E67"/>
    <w:rsid w:val="00AE5F5D"/>
    <w:rsid w:val="00AE5F74"/>
    <w:rsid w:val="00AE6F18"/>
    <w:rsid w:val="00AF0CCC"/>
    <w:rsid w:val="00AF2509"/>
    <w:rsid w:val="00AF3A8C"/>
    <w:rsid w:val="00AF4D51"/>
    <w:rsid w:val="00B0146E"/>
    <w:rsid w:val="00B01D0B"/>
    <w:rsid w:val="00B01F2A"/>
    <w:rsid w:val="00B039A1"/>
    <w:rsid w:val="00B055CF"/>
    <w:rsid w:val="00B06A9F"/>
    <w:rsid w:val="00B071DF"/>
    <w:rsid w:val="00B10315"/>
    <w:rsid w:val="00B104C5"/>
    <w:rsid w:val="00B11BA5"/>
    <w:rsid w:val="00B124C6"/>
    <w:rsid w:val="00B12B97"/>
    <w:rsid w:val="00B12E14"/>
    <w:rsid w:val="00B14ED2"/>
    <w:rsid w:val="00B16894"/>
    <w:rsid w:val="00B170C3"/>
    <w:rsid w:val="00B1775A"/>
    <w:rsid w:val="00B20BCC"/>
    <w:rsid w:val="00B21039"/>
    <w:rsid w:val="00B2124B"/>
    <w:rsid w:val="00B21A41"/>
    <w:rsid w:val="00B21B3F"/>
    <w:rsid w:val="00B21CAA"/>
    <w:rsid w:val="00B21DBB"/>
    <w:rsid w:val="00B244CE"/>
    <w:rsid w:val="00B2613B"/>
    <w:rsid w:val="00B264DD"/>
    <w:rsid w:val="00B277FE"/>
    <w:rsid w:val="00B27F31"/>
    <w:rsid w:val="00B30C80"/>
    <w:rsid w:val="00B32BFC"/>
    <w:rsid w:val="00B34669"/>
    <w:rsid w:val="00B348A5"/>
    <w:rsid w:val="00B359B7"/>
    <w:rsid w:val="00B35A35"/>
    <w:rsid w:val="00B37763"/>
    <w:rsid w:val="00B42489"/>
    <w:rsid w:val="00B429B8"/>
    <w:rsid w:val="00B42A1F"/>
    <w:rsid w:val="00B443D7"/>
    <w:rsid w:val="00B45AB1"/>
    <w:rsid w:val="00B5126A"/>
    <w:rsid w:val="00B52DB7"/>
    <w:rsid w:val="00B53742"/>
    <w:rsid w:val="00B54A13"/>
    <w:rsid w:val="00B555AF"/>
    <w:rsid w:val="00B55828"/>
    <w:rsid w:val="00B60D5D"/>
    <w:rsid w:val="00B64B59"/>
    <w:rsid w:val="00B65F2A"/>
    <w:rsid w:val="00B66FB3"/>
    <w:rsid w:val="00B67DFC"/>
    <w:rsid w:val="00B71254"/>
    <w:rsid w:val="00B72F6E"/>
    <w:rsid w:val="00B747C5"/>
    <w:rsid w:val="00B74BE0"/>
    <w:rsid w:val="00B751ED"/>
    <w:rsid w:val="00B755FC"/>
    <w:rsid w:val="00B75E23"/>
    <w:rsid w:val="00B768F1"/>
    <w:rsid w:val="00B80B80"/>
    <w:rsid w:val="00B80CEB"/>
    <w:rsid w:val="00B8195B"/>
    <w:rsid w:val="00B8248F"/>
    <w:rsid w:val="00B877D4"/>
    <w:rsid w:val="00B9025F"/>
    <w:rsid w:val="00B91DB9"/>
    <w:rsid w:val="00B923BC"/>
    <w:rsid w:val="00B94F19"/>
    <w:rsid w:val="00B95317"/>
    <w:rsid w:val="00B95CDD"/>
    <w:rsid w:val="00B97CD4"/>
    <w:rsid w:val="00BA3F3E"/>
    <w:rsid w:val="00BA4F26"/>
    <w:rsid w:val="00BA68E5"/>
    <w:rsid w:val="00BA6F6F"/>
    <w:rsid w:val="00BA7824"/>
    <w:rsid w:val="00BB006E"/>
    <w:rsid w:val="00BB0B38"/>
    <w:rsid w:val="00BB10B4"/>
    <w:rsid w:val="00BB10CD"/>
    <w:rsid w:val="00BB123B"/>
    <w:rsid w:val="00BB2628"/>
    <w:rsid w:val="00BB338B"/>
    <w:rsid w:val="00BB4534"/>
    <w:rsid w:val="00BC04C7"/>
    <w:rsid w:val="00BC1254"/>
    <w:rsid w:val="00BC16B9"/>
    <w:rsid w:val="00BC2C12"/>
    <w:rsid w:val="00BC403D"/>
    <w:rsid w:val="00BC4533"/>
    <w:rsid w:val="00BC4FEF"/>
    <w:rsid w:val="00BC5071"/>
    <w:rsid w:val="00BC5D89"/>
    <w:rsid w:val="00BC639A"/>
    <w:rsid w:val="00BC6FF9"/>
    <w:rsid w:val="00BC758A"/>
    <w:rsid w:val="00BC75DE"/>
    <w:rsid w:val="00BC7E5A"/>
    <w:rsid w:val="00BD029C"/>
    <w:rsid w:val="00BD055B"/>
    <w:rsid w:val="00BD10B4"/>
    <w:rsid w:val="00BD1465"/>
    <w:rsid w:val="00BD2702"/>
    <w:rsid w:val="00BD2EA6"/>
    <w:rsid w:val="00BD3D60"/>
    <w:rsid w:val="00BD483D"/>
    <w:rsid w:val="00BD4F4A"/>
    <w:rsid w:val="00BD58B0"/>
    <w:rsid w:val="00BD62E7"/>
    <w:rsid w:val="00BD6D19"/>
    <w:rsid w:val="00BE14DA"/>
    <w:rsid w:val="00BE40FA"/>
    <w:rsid w:val="00BE5F65"/>
    <w:rsid w:val="00BE7DBE"/>
    <w:rsid w:val="00BF01BD"/>
    <w:rsid w:val="00BF21C2"/>
    <w:rsid w:val="00BF38CB"/>
    <w:rsid w:val="00BF3A6D"/>
    <w:rsid w:val="00BF4D15"/>
    <w:rsid w:val="00BF674E"/>
    <w:rsid w:val="00BF74E4"/>
    <w:rsid w:val="00C00058"/>
    <w:rsid w:val="00C00932"/>
    <w:rsid w:val="00C024D3"/>
    <w:rsid w:val="00C02537"/>
    <w:rsid w:val="00C0653E"/>
    <w:rsid w:val="00C06EF8"/>
    <w:rsid w:val="00C105EE"/>
    <w:rsid w:val="00C116EA"/>
    <w:rsid w:val="00C12D11"/>
    <w:rsid w:val="00C13596"/>
    <w:rsid w:val="00C15F7B"/>
    <w:rsid w:val="00C211B1"/>
    <w:rsid w:val="00C21E4F"/>
    <w:rsid w:val="00C22C1E"/>
    <w:rsid w:val="00C22EAD"/>
    <w:rsid w:val="00C23312"/>
    <w:rsid w:val="00C24C97"/>
    <w:rsid w:val="00C269C6"/>
    <w:rsid w:val="00C26C6D"/>
    <w:rsid w:val="00C323E8"/>
    <w:rsid w:val="00C3358D"/>
    <w:rsid w:val="00C33786"/>
    <w:rsid w:val="00C3530B"/>
    <w:rsid w:val="00C364A5"/>
    <w:rsid w:val="00C36590"/>
    <w:rsid w:val="00C3750F"/>
    <w:rsid w:val="00C4027B"/>
    <w:rsid w:val="00C4094E"/>
    <w:rsid w:val="00C41087"/>
    <w:rsid w:val="00C42DDC"/>
    <w:rsid w:val="00C43E6D"/>
    <w:rsid w:val="00C447AB"/>
    <w:rsid w:val="00C46631"/>
    <w:rsid w:val="00C4665D"/>
    <w:rsid w:val="00C5118F"/>
    <w:rsid w:val="00C5631F"/>
    <w:rsid w:val="00C57B26"/>
    <w:rsid w:val="00C60650"/>
    <w:rsid w:val="00C617CD"/>
    <w:rsid w:val="00C636B6"/>
    <w:rsid w:val="00C65747"/>
    <w:rsid w:val="00C671D9"/>
    <w:rsid w:val="00C71525"/>
    <w:rsid w:val="00C730E8"/>
    <w:rsid w:val="00C76511"/>
    <w:rsid w:val="00C813D8"/>
    <w:rsid w:val="00C825F9"/>
    <w:rsid w:val="00C82C68"/>
    <w:rsid w:val="00C83D8B"/>
    <w:rsid w:val="00C85400"/>
    <w:rsid w:val="00C87FD5"/>
    <w:rsid w:val="00C906CF"/>
    <w:rsid w:val="00C91170"/>
    <w:rsid w:val="00C91477"/>
    <w:rsid w:val="00C91CC0"/>
    <w:rsid w:val="00C91F0C"/>
    <w:rsid w:val="00C92857"/>
    <w:rsid w:val="00C94405"/>
    <w:rsid w:val="00C95EEF"/>
    <w:rsid w:val="00C97E3D"/>
    <w:rsid w:val="00CA2DDA"/>
    <w:rsid w:val="00CA2F71"/>
    <w:rsid w:val="00CA33CF"/>
    <w:rsid w:val="00CA4811"/>
    <w:rsid w:val="00CA553D"/>
    <w:rsid w:val="00CA5780"/>
    <w:rsid w:val="00CA5C88"/>
    <w:rsid w:val="00CA6624"/>
    <w:rsid w:val="00CA793E"/>
    <w:rsid w:val="00CB1C03"/>
    <w:rsid w:val="00CB2170"/>
    <w:rsid w:val="00CB3AE8"/>
    <w:rsid w:val="00CB6AB3"/>
    <w:rsid w:val="00CB7745"/>
    <w:rsid w:val="00CC0335"/>
    <w:rsid w:val="00CC0ABF"/>
    <w:rsid w:val="00CC0CDA"/>
    <w:rsid w:val="00CC1548"/>
    <w:rsid w:val="00CC2CB4"/>
    <w:rsid w:val="00CC3BFE"/>
    <w:rsid w:val="00CC499F"/>
    <w:rsid w:val="00CC526A"/>
    <w:rsid w:val="00CC68BA"/>
    <w:rsid w:val="00CD0355"/>
    <w:rsid w:val="00CD0489"/>
    <w:rsid w:val="00CD06A3"/>
    <w:rsid w:val="00CD108F"/>
    <w:rsid w:val="00CD32E1"/>
    <w:rsid w:val="00CD34E6"/>
    <w:rsid w:val="00CD412A"/>
    <w:rsid w:val="00CD4199"/>
    <w:rsid w:val="00CD51A5"/>
    <w:rsid w:val="00CD5A3F"/>
    <w:rsid w:val="00CD78EB"/>
    <w:rsid w:val="00CD7ABC"/>
    <w:rsid w:val="00CE116C"/>
    <w:rsid w:val="00CE23D3"/>
    <w:rsid w:val="00CE2A55"/>
    <w:rsid w:val="00CE38F8"/>
    <w:rsid w:val="00CE422A"/>
    <w:rsid w:val="00CE4A03"/>
    <w:rsid w:val="00CE5836"/>
    <w:rsid w:val="00CE6EF3"/>
    <w:rsid w:val="00CE72BF"/>
    <w:rsid w:val="00CF0B7E"/>
    <w:rsid w:val="00CF2D59"/>
    <w:rsid w:val="00CF3EBE"/>
    <w:rsid w:val="00CF5790"/>
    <w:rsid w:val="00CF5BAE"/>
    <w:rsid w:val="00D0024C"/>
    <w:rsid w:val="00D00AA1"/>
    <w:rsid w:val="00D00BD5"/>
    <w:rsid w:val="00D01A70"/>
    <w:rsid w:val="00D01BA9"/>
    <w:rsid w:val="00D02765"/>
    <w:rsid w:val="00D04065"/>
    <w:rsid w:val="00D04D69"/>
    <w:rsid w:val="00D06605"/>
    <w:rsid w:val="00D073BA"/>
    <w:rsid w:val="00D07B81"/>
    <w:rsid w:val="00D07F30"/>
    <w:rsid w:val="00D10ACD"/>
    <w:rsid w:val="00D1103C"/>
    <w:rsid w:val="00D12267"/>
    <w:rsid w:val="00D1335F"/>
    <w:rsid w:val="00D1336A"/>
    <w:rsid w:val="00D135DA"/>
    <w:rsid w:val="00D13717"/>
    <w:rsid w:val="00D13A9E"/>
    <w:rsid w:val="00D16984"/>
    <w:rsid w:val="00D20363"/>
    <w:rsid w:val="00D20488"/>
    <w:rsid w:val="00D20611"/>
    <w:rsid w:val="00D20999"/>
    <w:rsid w:val="00D229ED"/>
    <w:rsid w:val="00D22C46"/>
    <w:rsid w:val="00D236EE"/>
    <w:rsid w:val="00D23BB8"/>
    <w:rsid w:val="00D23C39"/>
    <w:rsid w:val="00D2442F"/>
    <w:rsid w:val="00D25288"/>
    <w:rsid w:val="00D25EF4"/>
    <w:rsid w:val="00D262A4"/>
    <w:rsid w:val="00D26D58"/>
    <w:rsid w:val="00D32DC9"/>
    <w:rsid w:val="00D349E4"/>
    <w:rsid w:val="00D36609"/>
    <w:rsid w:val="00D369DE"/>
    <w:rsid w:val="00D37422"/>
    <w:rsid w:val="00D3788C"/>
    <w:rsid w:val="00D415E4"/>
    <w:rsid w:val="00D41890"/>
    <w:rsid w:val="00D43D04"/>
    <w:rsid w:val="00D44935"/>
    <w:rsid w:val="00D46F9D"/>
    <w:rsid w:val="00D46FA9"/>
    <w:rsid w:val="00D4773A"/>
    <w:rsid w:val="00D50ECF"/>
    <w:rsid w:val="00D52D3A"/>
    <w:rsid w:val="00D52D6F"/>
    <w:rsid w:val="00D53390"/>
    <w:rsid w:val="00D536C3"/>
    <w:rsid w:val="00D56B07"/>
    <w:rsid w:val="00D56E52"/>
    <w:rsid w:val="00D56F18"/>
    <w:rsid w:val="00D57302"/>
    <w:rsid w:val="00D57993"/>
    <w:rsid w:val="00D57AD7"/>
    <w:rsid w:val="00D63001"/>
    <w:rsid w:val="00D6373B"/>
    <w:rsid w:val="00D64717"/>
    <w:rsid w:val="00D654F9"/>
    <w:rsid w:val="00D67FB7"/>
    <w:rsid w:val="00D707ED"/>
    <w:rsid w:val="00D7111C"/>
    <w:rsid w:val="00D72B09"/>
    <w:rsid w:val="00D73F8E"/>
    <w:rsid w:val="00D75A61"/>
    <w:rsid w:val="00D768A6"/>
    <w:rsid w:val="00D77BFA"/>
    <w:rsid w:val="00D80AF4"/>
    <w:rsid w:val="00D81194"/>
    <w:rsid w:val="00D8171B"/>
    <w:rsid w:val="00D82B8C"/>
    <w:rsid w:val="00D82FD8"/>
    <w:rsid w:val="00D83291"/>
    <w:rsid w:val="00D83D87"/>
    <w:rsid w:val="00D845D5"/>
    <w:rsid w:val="00D86F7C"/>
    <w:rsid w:val="00D8766A"/>
    <w:rsid w:val="00D918B2"/>
    <w:rsid w:val="00D91F99"/>
    <w:rsid w:val="00D9203B"/>
    <w:rsid w:val="00D92141"/>
    <w:rsid w:val="00D94BD9"/>
    <w:rsid w:val="00D94DC5"/>
    <w:rsid w:val="00D9501E"/>
    <w:rsid w:val="00D95B2B"/>
    <w:rsid w:val="00D973F6"/>
    <w:rsid w:val="00DA0FB7"/>
    <w:rsid w:val="00DA137C"/>
    <w:rsid w:val="00DA4176"/>
    <w:rsid w:val="00DA61EE"/>
    <w:rsid w:val="00DA64E6"/>
    <w:rsid w:val="00DA69E0"/>
    <w:rsid w:val="00DA7083"/>
    <w:rsid w:val="00DA7B6A"/>
    <w:rsid w:val="00DA7C30"/>
    <w:rsid w:val="00DA7DA8"/>
    <w:rsid w:val="00DB09C2"/>
    <w:rsid w:val="00DB0C26"/>
    <w:rsid w:val="00DB22A2"/>
    <w:rsid w:val="00DB2A72"/>
    <w:rsid w:val="00DB2B45"/>
    <w:rsid w:val="00DB4A86"/>
    <w:rsid w:val="00DB51E2"/>
    <w:rsid w:val="00DB5264"/>
    <w:rsid w:val="00DB5C61"/>
    <w:rsid w:val="00DB5F8A"/>
    <w:rsid w:val="00DB621C"/>
    <w:rsid w:val="00DB6642"/>
    <w:rsid w:val="00DB7605"/>
    <w:rsid w:val="00DC10BF"/>
    <w:rsid w:val="00DC176C"/>
    <w:rsid w:val="00DC3648"/>
    <w:rsid w:val="00DC4049"/>
    <w:rsid w:val="00DC5AB8"/>
    <w:rsid w:val="00DC75A6"/>
    <w:rsid w:val="00DD1C5E"/>
    <w:rsid w:val="00DD7A91"/>
    <w:rsid w:val="00DE0049"/>
    <w:rsid w:val="00DE2AAB"/>
    <w:rsid w:val="00DE2EAB"/>
    <w:rsid w:val="00DE3EF9"/>
    <w:rsid w:val="00DE424E"/>
    <w:rsid w:val="00DE45E1"/>
    <w:rsid w:val="00DE618B"/>
    <w:rsid w:val="00DE6E9A"/>
    <w:rsid w:val="00DF2778"/>
    <w:rsid w:val="00DF55AB"/>
    <w:rsid w:val="00DF5B61"/>
    <w:rsid w:val="00DF5CF0"/>
    <w:rsid w:val="00E002BF"/>
    <w:rsid w:val="00E01788"/>
    <w:rsid w:val="00E01BD4"/>
    <w:rsid w:val="00E0299E"/>
    <w:rsid w:val="00E02DD2"/>
    <w:rsid w:val="00E03022"/>
    <w:rsid w:val="00E03604"/>
    <w:rsid w:val="00E0402D"/>
    <w:rsid w:val="00E04172"/>
    <w:rsid w:val="00E0454E"/>
    <w:rsid w:val="00E06AAB"/>
    <w:rsid w:val="00E06F4F"/>
    <w:rsid w:val="00E07E56"/>
    <w:rsid w:val="00E10EF4"/>
    <w:rsid w:val="00E11260"/>
    <w:rsid w:val="00E12011"/>
    <w:rsid w:val="00E12F54"/>
    <w:rsid w:val="00E132BD"/>
    <w:rsid w:val="00E132D1"/>
    <w:rsid w:val="00E13F0F"/>
    <w:rsid w:val="00E14BCD"/>
    <w:rsid w:val="00E1563A"/>
    <w:rsid w:val="00E173FA"/>
    <w:rsid w:val="00E2028A"/>
    <w:rsid w:val="00E2065D"/>
    <w:rsid w:val="00E218E9"/>
    <w:rsid w:val="00E21B8A"/>
    <w:rsid w:val="00E21DD9"/>
    <w:rsid w:val="00E22826"/>
    <w:rsid w:val="00E25B8E"/>
    <w:rsid w:val="00E27954"/>
    <w:rsid w:val="00E30311"/>
    <w:rsid w:val="00E30FDA"/>
    <w:rsid w:val="00E32313"/>
    <w:rsid w:val="00E33FA4"/>
    <w:rsid w:val="00E35420"/>
    <w:rsid w:val="00E35B56"/>
    <w:rsid w:val="00E3638A"/>
    <w:rsid w:val="00E40200"/>
    <w:rsid w:val="00E41084"/>
    <w:rsid w:val="00E420C4"/>
    <w:rsid w:val="00E4355B"/>
    <w:rsid w:val="00E436BD"/>
    <w:rsid w:val="00E47AA4"/>
    <w:rsid w:val="00E47ADF"/>
    <w:rsid w:val="00E5036A"/>
    <w:rsid w:val="00E50C41"/>
    <w:rsid w:val="00E51CD3"/>
    <w:rsid w:val="00E52663"/>
    <w:rsid w:val="00E5295C"/>
    <w:rsid w:val="00E52FAF"/>
    <w:rsid w:val="00E53767"/>
    <w:rsid w:val="00E5527D"/>
    <w:rsid w:val="00E56EE4"/>
    <w:rsid w:val="00E579AC"/>
    <w:rsid w:val="00E6024C"/>
    <w:rsid w:val="00E6043F"/>
    <w:rsid w:val="00E611C3"/>
    <w:rsid w:val="00E62726"/>
    <w:rsid w:val="00E63196"/>
    <w:rsid w:val="00E63534"/>
    <w:rsid w:val="00E65F31"/>
    <w:rsid w:val="00E6778B"/>
    <w:rsid w:val="00E67902"/>
    <w:rsid w:val="00E67F1F"/>
    <w:rsid w:val="00E733AB"/>
    <w:rsid w:val="00E736F8"/>
    <w:rsid w:val="00E77DD8"/>
    <w:rsid w:val="00E8086C"/>
    <w:rsid w:val="00E80EAD"/>
    <w:rsid w:val="00E81235"/>
    <w:rsid w:val="00E81552"/>
    <w:rsid w:val="00E82D65"/>
    <w:rsid w:val="00E83AE5"/>
    <w:rsid w:val="00E847FE"/>
    <w:rsid w:val="00E85678"/>
    <w:rsid w:val="00E85AB8"/>
    <w:rsid w:val="00E85FBC"/>
    <w:rsid w:val="00E864F6"/>
    <w:rsid w:val="00E87614"/>
    <w:rsid w:val="00E94AB8"/>
    <w:rsid w:val="00E9530B"/>
    <w:rsid w:val="00E9591C"/>
    <w:rsid w:val="00E95EA6"/>
    <w:rsid w:val="00E96538"/>
    <w:rsid w:val="00E967A6"/>
    <w:rsid w:val="00E96A09"/>
    <w:rsid w:val="00E97DAB"/>
    <w:rsid w:val="00EA188B"/>
    <w:rsid w:val="00EA1C95"/>
    <w:rsid w:val="00EA4309"/>
    <w:rsid w:val="00EA5713"/>
    <w:rsid w:val="00EA63E8"/>
    <w:rsid w:val="00EA7233"/>
    <w:rsid w:val="00EA7E22"/>
    <w:rsid w:val="00EB164F"/>
    <w:rsid w:val="00EB181D"/>
    <w:rsid w:val="00EB1AB7"/>
    <w:rsid w:val="00EB1ACB"/>
    <w:rsid w:val="00EB251E"/>
    <w:rsid w:val="00EB3427"/>
    <w:rsid w:val="00EB71D3"/>
    <w:rsid w:val="00EC09A3"/>
    <w:rsid w:val="00EC0E9F"/>
    <w:rsid w:val="00EC1671"/>
    <w:rsid w:val="00EC2063"/>
    <w:rsid w:val="00EC2084"/>
    <w:rsid w:val="00EC21FF"/>
    <w:rsid w:val="00EC5F56"/>
    <w:rsid w:val="00EC69AF"/>
    <w:rsid w:val="00EC70C3"/>
    <w:rsid w:val="00ED4580"/>
    <w:rsid w:val="00ED4E2D"/>
    <w:rsid w:val="00ED6C01"/>
    <w:rsid w:val="00ED708F"/>
    <w:rsid w:val="00EE1BBF"/>
    <w:rsid w:val="00EE1D0F"/>
    <w:rsid w:val="00EE3407"/>
    <w:rsid w:val="00EE38B6"/>
    <w:rsid w:val="00EE43FB"/>
    <w:rsid w:val="00EE5445"/>
    <w:rsid w:val="00EE5F52"/>
    <w:rsid w:val="00EE77E7"/>
    <w:rsid w:val="00EF435A"/>
    <w:rsid w:val="00EF53DC"/>
    <w:rsid w:val="00EF606C"/>
    <w:rsid w:val="00EF6EEE"/>
    <w:rsid w:val="00EF7B67"/>
    <w:rsid w:val="00F00B12"/>
    <w:rsid w:val="00F04A4F"/>
    <w:rsid w:val="00F04B59"/>
    <w:rsid w:val="00F04D80"/>
    <w:rsid w:val="00F0549A"/>
    <w:rsid w:val="00F05557"/>
    <w:rsid w:val="00F05A72"/>
    <w:rsid w:val="00F0612E"/>
    <w:rsid w:val="00F07123"/>
    <w:rsid w:val="00F0765F"/>
    <w:rsid w:val="00F1150A"/>
    <w:rsid w:val="00F11881"/>
    <w:rsid w:val="00F1218E"/>
    <w:rsid w:val="00F125B8"/>
    <w:rsid w:val="00F12CB7"/>
    <w:rsid w:val="00F13EE9"/>
    <w:rsid w:val="00F145D3"/>
    <w:rsid w:val="00F14D76"/>
    <w:rsid w:val="00F203E5"/>
    <w:rsid w:val="00F20825"/>
    <w:rsid w:val="00F2183E"/>
    <w:rsid w:val="00F21D1D"/>
    <w:rsid w:val="00F21F90"/>
    <w:rsid w:val="00F229C5"/>
    <w:rsid w:val="00F22B1F"/>
    <w:rsid w:val="00F24C8E"/>
    <w:rsid w:val="00F25620"/>
    <w:rsid w:val="00F25EC1"/>
    <w:rsid w:val="00F31972"/>
    <w:rsid w:val="00F32AAA"/>
    <w:rsid w:val="00F34307"/>
    <w:rsid w:val="00F34CEA"/>
    <w:rsid w:val="00F35DD5"/>
    <w:rsid w:val="00F3789D"/>
    <w:rsid w:val="00F40A2D"/>
    <w:rsid w:val="00F41A81"/>
    <w:rsid w:val="00F438CD"/>
    <w:rsid w:val="00F44067"/>
    <w:rsid w:val="00F4441A"/>
    <w:rsid w:val="00F447DB"/>
    <w:rsid w:val="00F4586E"/>
    <w:rsid w:val="00F463A0"/>
    <w:rsid w:val="00F46534"/>
    <w:rsid w:val="00F46D67"/>
    <w:rsid w:val="00F47D85"/>
    <w:rsid w:val="00F53E72"/>
    <w:rsid w:val="00F5535B"/>
    <w:rsid w:val="00F60D49"/>
    <w:rsid w:val="00F60F87"/>
    <w:rsid w:val="00F6185C"/>
    <w:rsid w:val="00F66297"/>
    <w:rsid w:val="00F66E70"/>
    <w:rsid w:val="00F67730"/>
    <w:rsid w:val="00F67A81"/>
    <w:rsid w:val="00F67C79"/>
    <w:rsid w:val="00F72109"/>
    <w:rsid w:val="00F72CCD"/>
    <w:rsid w:val="00F73660"/>
    <w:rsid w:val="00F74F43"/>
    <w:rsid w:val="00F7550E"/>
    <w:rsid w:val="00F761D0"/>
    <w:rsid w:val="00F777C3"/>
    <w:rsid w:val="00F80B75"/>
    <w:rsid w:val="00F82719"/>
    <w:rsid w:val="00F828CC"/>
    <w:rsid w:val="00F82B8E"/>
    <w:rsid w:val="00F83B66"/>
    <w:rsid w:val="00F85F43"/>
    <w:rsid w:val="00F86313"/>
    <w:rsid w:val="00F865F1"/>
    <w:rsid w:val="00F876D4"/>
    <w:rsid w:val="00F87ED7"/>
    <w:rsid w:val="00F90272"/>
    <w:rsid w:val="00F917A9"/>
    <w:rsid w:val="00F92ED9"/>
    <w:rsid w:val="00F92F61"/>
    <w:rsid w:val="00F93CC0"/>
    <w:rsid w:val="00F944F7"/>
    <w:rsid w:val="00F96030"/>
    <w:rsid w:val="00F975A1"/>
    <w:rsid w:val="00FA1084"/>
    <w:rsid w:val="00FA30D6"/>
    <w:rsid w:val="00FA376B"/>
    <w:rsid w:val="00FA3D97"/>
    <w:rsid w:val="00FA3F58"/>
    <w:rsid w:val="00FA434B"/>
    <w:rsid w:val="00FA68F7"/>
    <w:rsid w:val="00FA6FA9"/>
    <w:rsid w:val="00FA7D15"/>
    <w:rsid w:val="00FB00D9"/>
    <w:rsid w:val="00FB151C"/>
    <w:rsid w:val="00FB2C1C"/>
    <w:rsid w:val="00FB3B2E"/>
    <w:rsid w:val="00FB437F"/>
    <w:rsid w:val="00FB47C1"/>
    <w:rsid w:val="00FB4D77"/>
    <w:rsid w:val="00FB56F6"/>
    <w:rsid w:val="00FB5A22"/>
    <w:rsid w:val="00FB63EA"/>
    <w:rsid w:val="00FB695C"/>
    <w:rsid w:val="00FC0D22"/>
    <w:rsid w:val="00FC0F30"/>
    <w:rsid w:val="00FC1DE0"/>
    <w:rsid w:val="00FC2285"/>
    <w:rsid w:val="00FC3226"/>
    <w:rsid w:val="00FC3850"/>
    <w:rsid w:val="00FC54FF"/>
    <w:rsid w:val="00FC6C99"/>
    <w:rsid w:val="00FC723E"/>
    <w:rsid w:val="00FD075A"/>
    <w:rsid w:val="00FD19A4"/>
    <w:rsid w:val="00FD38E9"/>
    <w:rsid w:val="00FD3913"/>
    <w:rsid w:val="00FD580B"/>
    <w:rsid w:val="00FE14D1"/>
    <w:rsid w:val="00FE2184"/>
    <w:rsid w:val="00FE36DA"/>
    <w:rsid w:val="00FE58F2"/>
    <w:rsid w:val="00FE5A2F"/>
    <w:rsid w:val="00FE5CC1"/>
    <w:rsid w:val="00FE5CC3"/>
    <w:rsid w:val="00FE6064"/>
    <w:rsid w:val="00FF2C8F"/>
    <w:rsid w:val="00FF342D"/>
    <w:rsid w:val="00FF3639"/>
    <w:rsid w:val="00FF38D3"/>
    <w:rsid w:val="00FF3968"/>
    <w:rsid w:val="00FF3EE6"/>
    <w:rsid w:val="00FF554C"/>
    <w:rsid w:val="00FF6B3F"/>
    <w:rsid w:val="00FF7178"/>
    <w:rsid w:val="00FF7C5C"/>
    <w:rsid w:val="00FF7FC1"/>
    <w:rsid w:val="011F57E7"/>
    <w:rsid w:val="01276587"/>
    <w:rsid w:val="012E130F"/>
    <w:rsid w:val="01636262"/>
    <w:rsid w:val="018067FB"/>
    <w:rsid w:val="0183781A"/>
    <w:rsid w:val="018A5890"/>
    <w:rsid w:val="01993AA4"/>
    <w:rsid w:val="01A613CC"/>
    <w:rsid w:val="01BE4F5A"/>
    <w:rsid w:val="01D61ACA"/>
    <w:rsid w:val="01E613A1"/>
    <w:rsid w:val="020F3514"/>
    <w:rsid w:val="023A37C9"/>
    <w:rsid w:val="023D66A1"/>
    <w:rsid w:val="0259374F"/>
    <w:rsid w:val="02656B58"/>
    <w:rsid w:val="02716F85"/>
    <w:rsid w:val="02853512"/>
    <w:rsid w:val="02BF0104"/>
    <w:rsid w:val="032C4E8C"/>
    <w:rsid w:val="03486102"/>
    <w:rsid w:val="03512CA6"/>
    <w:rsid w:val="03523F72"/>
    <w:rsid w:val="03701F39"/>
    <w:rsid w:val="03AE5D1C"/>
    <w:rsid w:val="03B32F2C"/>
    <w:rsid w:val="03D36CFC"/>
    <w:rsid w:val="03D60954"/>
    <w:rsid w:val="03FE7EAB"/>
    <w:rsid w:val="04075996"/>
    <w:rsid w:val="042914DF"/>
    <w:rsid w:val="04374E9A"/>
    <w:rsid w:val="044849B6"/>
    <w:rsid w:val="044D7D5A"/>
    <w:rsid w:val="04533C7E"/>
    <w:rsid w:val="045F4B10"/>
    <w:rsid w:val="0467714B"/>
    <w:rsid w:val="046A6347"/>
    <w:rsid w:val="04712D8D"/>
    <w:rsid w:val="04737CB2"/>
    <w:rsid w:val="047863FB"/>
    <w:rsid w:val="047B0D47"/>
    <w:rsid w:val="047D3038"/>
    <w:rsid w:val="049B2618"/>
    <w:rsid w:val="049B59F2"/>
    <w:rsid w:val="04B30EA1"/>
    <w:rsid w:val="04EA08C2"/>
    <w:rsid w:val="04F316EE"/>
    <w:rsid w:val="050E411D"/>
    <w:rsid w:val="05C3082D"/>
    <w:rsid w:val="05C451BE"/>
    <w:rsid w:val="05CD384C"/>
    <w:rsid w:val="05F27DA4"/>
    <w:rsid w:val="05FC02B6"/>
    <w:rsid w:val="05FE600B"/>
    <w:rsid w:val="062410FB"/>
    <w:rsid w:val="062D590E"/>
    <w:rsid w:val="063020A5"/>
    <w:rsid w:val="063355AD"/>
    <w:rsid w:val="06537C08"/>
    <w:rsid w:val="0680729D"/>
    <w:rsid w:val="06993AB8"/>
    <w:rsid w:val="06A5736D"/>
    <w:rsid w:val="06C6021C"/>
    <w:rsid w:val="06CA704F"/>
    <w:rsid w:val="06F17BC7"/>
    <w:rsid w:val="07173FF8"/>
    <w:rsid w:val="07264691"/>
    <w:rsid w:val="077D200E"/>
    <w:rsid w:val="07AB606D"/>
    <w:rsid w:val="07AD271F"/>
    <w:rsid w:val="07FC69C6"/>
    <w:rsid w:val="07FF1F7F"/>
    <w:rsid w:val="081B54CF"/>
    <w:rsid w:val="0878022B"/>
    <w:rsid w:val="08852BEA"/>
    <w:rsid w:val="08944690"/>
    <w:rsid w:val="089A26BF"/>
    <w:rsid w:val="08DA6C09"/>
    <w:rsid w:val="08E31DD5"/>
    <w:rsid w:val="08E549EC"/>
    <w:rsid w:val="095F24FF"/>
    <w:rsid w:val="096916B3"/>
    <w:rsid w:val="097D67BD"/>
    <w:rsid w:val="0985076E"/>
    <w:rsid w:val="0991705D"/>
    <w:rsid w:val="0993045D"/>
    <w:rsid w:val="09B137BC"/>
    <w:rsid w:val="09EA3022"/>
    <w:rsid w:val="0A3F59AB"/>
    <w:rsid w:val="0A536CC3"/>
    <w:rsid w:val="0A566224"/>
    <w:rsid w:val="0A6A0B47"/>
    <w:rsid w:val="0A70209F"/>
    <w:rsid w:val="0A822A98"/>
    <w:rsid w:val="0A9C3548"/>
    <w:rsid w:val="0AA2750F"/>
    <w:rsid w:val="0AAE119F"/>
    <w:rsid w:val="0AEB6951"/>
    <w:rsid w:val="0B057D70"/>
    <w:rsid w:val="0B26198B"/>
    <w:rsid w:val="0B5C2086"/>
    <w:rsid w:val="0B9563CC"/>
    <w:rsid w:val="0BA143EE"/>
    <w:rsid w:val="0BC10038"/>
    <w:rsid w:val="0BD10365"/>
    <w:rsid w:val="0BD53BE7"/>
    <w:rsid w:val="0BE56223"/>
    <w:rsid w:val="0BE90046"/>
    <w:rsid w:val="0BF466B2"/>
    <w:rsid w:val="0BF70753"/>
    <w:rsid w:val="0C080B11"/>
    <w:rsid w:val="0C125EE0"/>
    <w:rsid w:val="0C1C0908"/>
    <w:rsid w:val="0C3731F5"/>
    <w:rsid w:val="0C457DB7"/>
    <w:rsid w:val="0C465369"/>
    <w:rsid w:val="0C591B14"/>
    <w:rsid w:val="0C8A293A"/>
    <w:rsid w:val="0CA3183D"/>
    <w:rsid w:val="0CDD4FBB"/>
    <w:rsid w:val="0CF64459"/>
    <w:rsid w:val="0CFE5041"/>
    <w:rsid w:val="0D082FF3"/>
    <w:rsid w:val="0D215862"/>
    <w:rsid w:val="0D2E2CEB"/>
    <w:rsid w:val="0D3910F9"/>
    <w:rsid w:val="0D3A3D4E"/>
    <w:rsid w:val="0D413A6E"/>
    <w:rsid w:val="0D4234FE"/>
    <w:rsid w:val="0D575872"/>
    <w:rsid w:val="0D5B1A2A"/>
    <w:rsid w:val="0D6E57E9"/>
    <w:rsid w:val="0D835267"/>
    <w:rsid w:val="0DAD5ED5"/>
    <w:rsid w:val="0DB22647"/>
    <w:rsid w:val="0DB53810"/>
    <w:rsid w:val="0DC21F45"/>
    <w:rsid w:val="0DC63B8A"/>
    <w:rsid w:val="0DCD7BE7"/>
    <w:rsid w:val="0E082052"/>
    <w:rsid w:val="0E290B02"/>
    <w:rsid w:val="0E4E034A"/>
    <w:rsid w:val="0E5038FE"/>
    <w:rsid w:val="0E861606"/>
    <w:rsid w:val="0E8D07A9"/>
    <w:rsid w:val="0EAA3C8E"/>
    <w:rsid w:val="0EB3038F"/>
    <w:rsid w:val="0EC15B57"/>
    <w:rsid w:val="0EDA16F0"/>
    <w:rsid w:val="0EDA6E8F"/>
    <w:rsid w:val="0EEC60AA"/>
    <w:rsid w:val="0EF97073"/>
    <w:rsid w:val="0F1D7085"/>
    <w:rsid w:val="0F2D0E5C"/>
    <w:rsid w:val="0F4C3729"/>
    <w:rsid w:val="0F7658D5"/>
    <w:rsid w:val="0F935343"/>
    <w:rsid w:val="0FAD4708"/>
    <w:rsid w:val="0FCA1F90"/>
    <w:rsid w:val="0FD06C0A"/>
    <w:rsid w:val="0FD85494"/>
    <w:rsid w:val="0FD968A4"/>
    <w:rsid w:val="0FDA17CC"/>
    <w:rsid w:val="10136B3F"/>
    <w:rsid w:val="10357DDF"/>
    <w:rsid w:val="103C44D4"/>
    <w:rsid w:val="10455AC9"/>
    <w:rsid w:val="10464052"/>
    <w:rsid w:val="104D03D6"/>
    <w:rsid w:val="105D172D"/>
    <w:rsid w:val="10712D6B"/>
    <w:rsid w:val="10774948"/>
    <w:rsid w:val="10A268E0"/>
    <w:rsid w:val="10AD2429"/>
    <w:rsid w:val="10B933A3"/>
    <w:rsid w:val="10BC5375"/>
    <w:rsid w:val="10D32AEB"/>
    <w:rsid w:val="10DE56BE"/>
    <w:rsid w:val="10E4477A"/>
    <w:rsid w:val="10F50D04"/>
    <w:rsid w:val="10FB5E9E"/>
    <w:rsid w:val="1116126D"/>
    <w:rsid w:val="113227A4"/>
    <w:rsid w:val="1132660B"/>
    <w:rsid w:val="11342F80"/>
    <w:rsid w:val="114428F9"/>
    <w:rsid w:val="1169186B"/>
    <w:rsid w:val="11706A08"/>
    <w:rsid w:val="11776511"/>
    <w:rsid w:val="11BC3B25"/>
    <w:rsid w:val="11C24C0D"/>
    <w:rsid w:val="11FA5AF2"/>
    <w:rsid w:val="12040D82"/>
    <w:rsid w:val="124159C8"/>
    <w:rsid w:val="12740493"/>
    <w:rsid w:val="1282736F"/>
    <w:rsid w:val="1293123A"/>
    <w:rsid w:val="12940560"/>
    <w:rsid w:val="12A1455E"/>
    <w:rsid w:val="12DE15D3"/>
    <w:rsid w:val="1312540B"/>
    <w:rsid w:val="131E7F3E"/>
    <w:rsid w:val="1340357C"/>
    <w:rsid w:val="13511F1E"/>
    <w:rsid w:val="13642ED1"/>
    <w:rsid w:val="139516C3"/>
    <w:rsid w:val="139879D4"/>
    <w:rsid w:val="13A14762"/>
    <w:rsid w:val="13A3561D"/>
    <w:rsid w:val="13AE7D8D"/>
    <w:rsid w:val="13C0373A"/>
    <w:rsid w:val="13DF0E04"/>
    <w:rsid w:val="142459F8"/>
    <w:rsid w:val="144F7B6C"/>
    <w:rsid w:val="1454648F"/>
    <w:rsid w:val="14566431"/>
    <w:rsid w:val="145C4296"/>
    <w:rsid w:val="148645B1"/>
    <w:rsid w:val="148F13DB"/>
    <w:rsid w:val="14911CB8"/>
    <w:rsid w:val="14A57233"/>
    <w:rsid w:val="14AC43C8"/>
    <w:rsid w:val="14C106CB"/>
    <w:rsid w:val="14CB47B4"/>
    <w:rsid w:val="151221AD"/>
    <w:rsid w:val="153C54C9"/>
    <w:rsid w:val="1543751C"/>
    <w:rsid w:val="154913C1"/>
    <w:rsid w:val="154E73CE"/>
    <w:rsid w:val="155C0685"/>
    <w:rsid w:val="15637CF0"/>
    <w:rsid w:val="15676235"/>
    <w:rsid w:val="15CD32B1"/>
    <w:rsid w:val="15E556D2"/>
    <w:rsid w:val="15E85E08"/>
    <w:rsid w:val="160C3230"/>
    <w:rsid w:val="162604E8"/>
    <w:rsid w:val="164845BB"/>
    <w:rsid w:val="164A26EC"/>
    <w:rsid w:val="164A50D2"/>
    <w:rsid w:val="1685302E"/>
    <w:rsid w:val="169102AE"/>
    <w:rsid w:val="16A02E7F"/>
    <w:rsid w:val="16BD3DF8"/>
    <w:rsid w:val="16DF3644"/>
    <w:rsid w:val="17182CF9"/>
    <w:rsid w:val="171E36B3"/>
    <w:rsid w:val="171F2A67"/>
    <w:rsid w:val="172750DA"/>
    <w:rsid w:val="17331601"/>
    <w:rsid w:val="173D282D"/>
    <w:rsid w:val="174B4855"/>
    <w:rsid w:val="17886F0B"/>
    <w:rsid w:val="17D00991"/>
    <w:rsid w:val="18043B82"/>
    <w:rsid w:val="181B7828"/>
    <w:rsid w:val="18323B06"/>
    <w:rsid w:val="183A478A"/>
    <w:rsid w:val="186111D8"/>
    <w:rsid w:val="18722EE9"/>
    <w:rsid w:val="187D03E1"/>
    <w:rsid w:val="188172EA"/>
    <w:rsid w:val="188E04A7"/>
    <w:rsid w:val="18B240A1"/>
    <w:rsid w:val="18EA31E3"/>
    <w:rsid w:val="193C3068"/>
    <w:rsid w:val="194E24DE"/>
    <w:rsid w:val="195C4C62"/>
    <w:rsid w:val="1981715C"/>
    <w:rsid w:val="19B118DA"/>
    <w:rsid w:val="19BF5FD5"/>
    <w:rsid w:val="19C51924"/>
    <w:rsid w:val="19F779CC"/>
    <w:rsid w:val="19FA19C0"/>
    <w:rsid w:val="19FC0089"/>
    <w:rsid w:val="1A023DF9"/>
    <w:rsid w:val="1A1725B9"/>
    <w:rsid w:val="1A3652A1"/>
    <w:rsid w:val="1A4B5432"/>
    <w:rsid w:val="1A5D3785"/>
    <w:rsid w:val="1A7A5EAF"/>
    <w:rsid w:val="1A7F1D34"/>
    <w:rsid w:val="1AB27AF9"/>
    <w:rsid w:val="1AE0338F"/>
    <w:rsid w:val="1AEC0A2A"/>
    <w:rsid w:val="1B0C559F"/>
    <w:rsid w:val="1B4902D4"/>
    <w:rsid w:val="1B65128C"/>
    <w:rsid w:val="1B7823DC"/>
    <w:rsid w:val="1B7B3507"/>
    <w:rsid w:val="1B8D1DE8"/>
    <w:rsid w:val="1BC81C9A"/>
    <w:rsid w:val="1BCB4DE5"/>
    <w:rsid w:val="1BD27821"/>
    <w:rsid w:val="1BD91263"/>
    <w:rsid w:val="1BDD54B9"/>
    <w:rsid w:val="1C031050"/>
    <w:rsid w:val="1C13360F"/>
    <w:rsid w:val="1C4273F3"/>
    <w:rsid w:val="1C5C196D"/>
    <w:rsid w:val="1C695505"/>
    <w:rsid w:val="1C6D2469"/>
    <w:rsid w:val="1C6F017D"/>
    <w:rsid w:val="1C7D2802"/>
    <w:rsid w:val="1C9A59FD"/>
    <w:rsid w:val="1CAF11D0"/>
    <w:rsid w:val="1CBA321F"/>
    <w:rsid w:val="1D0D4AD4"/>
    <w:rsid w:val="1D1B700C"/>
    <w:rsid w:val="1D326DC7"/>
    <w:rsid w:val="1D613657"/>
    <w:rsid w:val="1D61399B"/>
    <w:rsid w:val="1D8024CC"/>
    <w:rsid w:val="1D812A2F"/>
    <w:rsid w:val="1D846918"/>
    <w:rsid w:val="1D9B17E1"/>
    <w:rsid w:val="1DAB0A2F"/>
    <w:rsid w:val="1DB0474A"/>
    <w:rsid w:val="1DB621DC"/>
    <w:rsid w:val="1E080F71"/>
    <w:rsid w:val="1E325263"/>
    <w:rsid w:val="1E455ECB"/>
    <w:rsid w:val="1E47464E"/>
    <w:rsid w:val="1E7E5FBB"/>
    <w:rsid w:val="1E933BB9"/>
    <w:rsid w:val="1EB04994"/>
    <w:rsid w:val="1EC203F6"/>
    <w:rsid w:val="1EC60D95"/>
    <w:rsid w:val="1ECC7315"/>
    <w:rsid w:val="1EEC39E7"/>
    <w:rsid w:val="1F361D39"/>
    <w:rsid w:val="1F384859"/>
    <w:rsid w:val="1F56686E"/>
    <w:rsid w:val="1F5C044F"/>
    <w:rsid w:val="1F735D9B"/>
    <w:rsid w:val="1F7627F3"/>
    <w:rsid w:val="1F7646BF"/>
    <w:rsid w:val="1F913A2F"/>
    <w:rsid w:val="1F9B4C31"/>
    <w:rsid w:val="1FBA46CF"/>
    <w:rsid w:val="1FFD0DDF"/>
    <w:rsid w:val="201F5ADE"/>
    <w:rsid w:val="202C3F03"/>
    <w:rsid w:val="204D7D98"/>
    <w:rsid w:val="20607ACB"/>
    <w:rsid w:val="20722820"/>
    <w:rsid w:val="208927FC"/>
    <w:rsid w:val="20967B89"/>
    <w:rsid w:val="20AD139A"/>
    <w:rsid w:val="20BE2A44"/>
    <w:rsid w:val="210B76AE"/>
    <w:rsid w:val="211663DC"/>
    <w:rsid w:val="21235FFB"/>
    <w:rsid w:val="21250153"/>
    <w:rsid w:val="213D7062"/>
    <w:rsid w:val="216454CC"/>
    <w:rsid w:val="2167707D"/>
    <w:rsid w:val="216A56CE"/>
    <w:rsid w:val="2170280C"/>
    <w:rsid w:val="2171175A"/>
    <w:rsid w:val="21A25618"/>
    <w:rsid w:val="21DD1ACF"/>
    <w:rsid w:val="21E167E2"/>
    <w:rsid w:val="21F12516"/>
    <w:rsid w:val="22112782"/>
    <w:rsid w:val="22335487"/>
    <w:rsid w:val="2244111D"/>
    <w:rsid w:val="22473129"/>
    <w:rsid w:val="224C21DA"/>
    <w:rsid w:val="224F70F9"/>
    <w:rsid w:val="22571426"/>
    <w:rsid w:val="22585FBC"/>
    <w:rsid w:val="225F49E9"/>
    <w:rsid w:val="226118D9"/>
    <w:rsid w:val="226A7943"/>
    <w:rsid w:val="22764CC5"/>
    <w:rsid w:val="227B26E2"/>
    <w:rsid w:val="228700A3"/>
    <w:rsid w:val="22B1155E"/>
    <w:rsid w:val="22D23FD6"/>
    <w:rsid w:val="22DA4819"/>
    <w:rsid w:val="22DB0E51"/>
    <w:rsid w:val="22EB43F3"/>
    <w:rsid w:val="22F95FB5"/>
    <w:rsid w:val="23022AF7"/>
    <w:rsid w:val="23165FAF"/>
    <w:rsid w:val="232C0CEF"/>
    <w:rsid w:val="235766CC"/>
    <w:rsid w:val="2358717F"/>
    <w:rsid w:val="23600FDC"/>
    <w:rsid w:val="237271C0"/>
    <w:rsid w:val="238A1163"/>
    <w:rsid w:val="239576EA"/>
    <w:rsid w:val="23C15F64"/>
    <w:rsid w:val="23D5432C"/>
    <w:rsid w:val="23D80FAE"/>
    <w:rsid w:val="23DF2217"/>
    <w:rsid w:val="23ED3928"/>
    <w:rsid w:val="23F0555C"/>
    <w:rsid w:val="240206E9"/>
    <w:rsid w:val="240B6445"/>
    <w:rsid w:val="24396993"/>
    <w:rsid w:val="247C3098"/>
    <w:rsid w:val="24EA5444"/>
    <w:rsid w:val="24EF6A6B"/>
    <w:rsid w:val="25157AB3"/>
    <w:rsid w:val="252C2E35"/>
    <w:rsid w:val="25483952"/>
    <w:rsid w:val="25586C1B"/>
    <w:rsid w:val="256A4EB7"/>
    <w:rsid w:val="257B45A5"/>
    <w:rsid w:val="257F0DDE"/>
    <w:rsid w:val="25822292"/>
    <w:rsid w:val="25852A00"/>
    <w:rsid w:val="258C579C"/>
    <w:rsid w:val="259C3762"/>
    <w:rsid w:val="25A96F41"/>
    <w:rsid w:val="25AD13A7"/>
    <w:rsid w:val="25BB7C42"/>
    <w:rsid w:val="25D008FD"/>
    <w:rsid w:val="25DD430C"/>
    <w:rsid w:val="26275710"/>
    <w:rsid w:val="262C18F8"/>
    <w:rsid w:val="264603D3"/>
    <w:rsid w:val="26825747"/>
    <w:rsid w:val="268D5392"/>
    <w:rsid w:val="26900E6D"/>
    <w:rsid w:val="26AC7777"/>
    <w:rsid w:val="26B92B12"/>
    <w:rsid w:val="26C03472"/>
    <w:rsid w:val="26C97ADD"/>
    <w:rsid w:val="26E921AF"/>
    <w:rsid w:val="26FA5104"/>
    <w:rsid w:val="27003017"/>
    <w:rsid w:val="270D52E7"/>
    <w:rsid w:val="272A1211"/>
    <w:rsid w:val="27395BCC"/>
    <w:rsid w:val="27414187"/>
    <w:rsid w:val="27832124"/>
    <w:rsid w:val="2789585D"/>
    <w:rsid w:val="27962217"/>
    <w:rsid w:val="27C5503E"/>
    <w:rsid w:val="27D50F66"/>
    <w:rsid w:val="28026CB3"/>
    <w:rsid w:val="28044708"/>
    <w:rsid w:val="280553FE"/>
    <w:rsid w:val="283427B3"/>
    <w:rsid w:val="283F6E59"/>
    <w:rsid w:val="284654A3"/>
    <w:rsid w:val="2863723F"/>
    <w:rsid w:val="28743B04"/>
    <w:rsid w:val="28967B97"/>
    <w:rsid w:val="28A013AD"/>
    <w:rsid w:val="28A65356"/>
    <w:rsid w:val="28A97F92"/>
    <w:rsid w:val="28B76FAC"/>
    <w:rsid w:val="28D541D9"/>
    <w:rsid w:val="28FD7994"/>
    <w:rsid w:val="29051210"/>
    <w:rsid w:val="290566C9"/>
    <w:rsid w:val="29126096"/>
    <w:rsid w:val="291F6A0E"/>
    <w:rsid w:val="29454EFF"/>
    <w:rsid w:val="29502E70"/>
    <w:rsid w:val="296771F2"/>
    <w:rsid w:val="298A41E2"/>
    <w:rsid w:val="299777E8"/>
    <w:rsid w:val="29C31735"/>
    <w:rsid w:val="29C42E79"/>
    <w:rsid w:val="2A09785D"/>
    <w:rsid w:val="2A183D62"/>
    <w:rsid w:val="2A2E380F"/>
    <w:rsid w:val="2A467993"/>
    <w:rsid w:val="2A801135"/>
    <w:rsid w:val="2A8E3F9B"/>
    <w:rsid w:val="2AA32FA0"/>
    <w:rsid w:val="2ABA581E"/>
    <w:rsid w:val="2AD00453"/>
    <w:rsid w:val="2AED28A3"/>
    <w:rsid w:val="2AF2606C"/>
    <w:rsid w:val="2B0841B7"/>
    <w:rsid w:val="2B0D1ED6"/>
    <w:rsid w:val="2B3314B7"/>
    <w:rsid w:val="2B652570"/>
    <w:rsid w:val="2B83556F"/>
    <w:rsid w:val="2B854744"/>
    <w:rsid w:val="2B870602"/>
    <w:rsid w:val="2BD75F66"/>
    <w:rsid w:val="2BDB24CD"/>
    <w:rsid w:val="2BFA2D5E"/>
    <w:rsid w:val="2C1E0151"/>
    <w:rsid w:val="2C22076E"/>
    <w:rsid w:val="2C571800"/>
    <w:rsid w:val="2C680433"/>
    <w:rsid w:val="2C711B20"/>
    <w:rsid w:val="2C7A12F6"/>
    <w:rsid w:val="2C7E62FE"/>
    <w:rsid w:val="2C865337"/>
    <w:rsid w:val="2CA92762"/>
    <w:rsid w:val="2CAF3E46"/>
    <w:rsid w:val="2CED54DC"/>
    <w:rsid w:val="2D02739A"/>
    <w:rsid w:val="2D277F87"/>
    <w:rsid w:val="2D297497"/>
    <w:rsid w:val="2D5B59BE"/>
    <w:rsid w:val="2DDE2BD9"/>
    <w:rsid w:val="2DDF2977"/>
    <w:rsid w:val="2DFE516B"/>
    <w:rsid w:val="2E183A25"/>
    <w:rsid w:val="2E3609F8"/>
    <w:rsid w:val="2E4A54E4"/>
    <w:rsid w:val="2E9D56E0"/>
    <w:rsid w:val="2EA073A9"/>
    <w:rsid w:val="2EA1659B"/>
    <w:rsid w:val="2EDC29D8"/>
    <w:rsid w:val="2F0D7070"/>
    <w:rsid w:val="2F151945"/>
    <w:rsid w:val="2F3B4BE4"/>
    <w:rsid w:val="2F401543"/>
    <w:rsid w:val="2F416EDC"/>
    <w:rsid w:val="2F5C1DA5"/>
    <w:rsid w:val="2F5F77DB"/>
    <w:rsid w:val="2F7E3ACA"/>
    <w:rsid w:val="2F847E9D"/>
    <w:rsid w:val="2FB27C17"/>
    <w:rsid w:val="3028169A"/>
    <w:rsid w:val="30643E77"/>
    <w:rsid w:val="30971B3D"/>
    <w:rsid w:val="30A70E06"/>
    <w:rsid w:val="30A910FF"/>
    <w:rsid w:val="30AE1239"/>
    <w:rsid w:val="30C213C8"/>
    <w:rsid w:val="30C6560B"/>
    <w:rsid w:val="312C0923"/>
    <w:rsid w:val="314C6946"/>
    <w:rsid w:val="31707882"/>
    <w:rsid w:val="318A6584"/>
    <w:rsid w:val="31CB6034"/>
    <w:rsid w:val="31D93C24"/>
    <w:rsid w:val="31E7656E"/>
    <w:rsid w:val="321C4F8F"/>
    <w:rsid w:val="321E0F02"/>
    <w:rsid w:val="323974C9"/>
    <w:rsid w:val="32594513"/>
    <w:rsid w:val="32662D8D"/>
    <w:rsid w:val="32CF5F6B"/>
    <w:rsid w:val="32D465D4"/>
    <w:rsid w:val="32E94CD2"/>
    <w:rsid w:val="334A0F9A"/>
    <w:rsid w:val="334B0167"/>
    <w:rsid w:val="336851BD"/>
    <w:rsid w:val="337C38AC"/>
    <w:rsid w:val="33805736"/>
    <w:rsid w:val="33886C0C"/>
    <w:rsid w:val="338F2295"/>
    <w:rsid w:val="33CE692E"/>
    <w:rsid w:val="33D6248D"/>
    <w:rsid w:val="33E1087E"/>
    <w:rsid w:val="33ED082E"/>
    <w:rsid w:val="33FB1B8D"/>
    <w:rsid w:val="34166BED"/>
    <w:rsid w:val="341E0901"/>
    <w:rsid w:val="341E248D"/>
    <w:rsid w:val="34321157"/>
    <w:rsid w:val="34443601"/>
    <w:rsid w:val="347637F3"/>
    <w:rsid w:val="34E023F2"/>
    <w:rsid w:val="34E22D4D"/>
    <w:rsid w:val="351F1252"/>
    <w:rsid w:val="354D48CA"/>
    <w:rsid w:val="35556EA5"/>
    <w:rsid w:val="3574257E"/>
    <w:rsid w:val="358502A4"/>
    <w:rsid w:val="359D40C5"/>
    <w:rsid w:val="35B2171B"/>
    <w:rsid w:val="35B96647"/>
    <w:rsid w:val="35C75456"/>
    <w:rsid w:val="35D43607"/>
    <w:rsid w:val="35F03AA6"/>
    <w:rsid w:val="35F04B1A"/>
    <w:rsid w:val="35FD6F00"/>
    <w:rsid w:val="36114536"/>
    <w:rsid w:val="3613411E"/>
    <w:rsid w:val="361971DB"/>
    <w:rsid w:val="361E6007"/>
    <w:rsid w:val="36370E76"/>
    <w:rsid w:val="363B4A3E"/>
    <w:rsid w:val="36896E6C"/>
    <w:rsid w:val="36BA1334"/>
    <w:rsid w:val="36BF50B1"/>
    <w:rsid w:val="37123A6C"/>
    <w:rsid w:val="37185CA5"/>
    <w:rsid w:val="374B2A5B"/>
    <w:rsid w:val="374F71CE"/>
    <w:rsid w:val="375F144D"/>
    <w:rsid w:val="376712E7"/>
    <w:rsid w:val="377D317F"/>
    <w:rsid w:val="37820C27"/>
    <w:rsid w:val="3782402F"/>
    <w:rsid w:val="378A6303"/>
    <w:rsid w:val="379A583D"/>
    <w:rsid w:val="37F34E8E"/>
    <w:rsid w:val="38042A27"/>
    <w:rsid w:val="381C0A40"/>
    <w:rsid w:val="383B2800"/>
    <w:rsid w:val="384D367D"/>
    <w:rsid w:val="386015D6"/>
    <w:rsid w:val="388836DC"/>
    <w:rsid w:val="38A26A10"/>
    <w:rsid w:val="38B65E3A"/>
    <w:rsid w:val="38BE38EF"/>
    <w:rsid w:val="38CF183A"/>
    <w:rsid w:val="38DA1E11"/>
    <w:rsid w:val="38DD634A"/>
    <w:rsid w:val="38E07283"/>
    <w:rsid w:val="390A2CB1"/>
    <w:rsid w:val="39243B24"/>
    <w:rsid w:val="395A7E06"/>
    <w:rsid w:val="39836892"/>
    <w:rsid w:val="39840CAB"/>
    <w:rsid w:val="398A1C71"/>
    <w:rsid w:val="39C31C32"/>
    <w:rsid w:val="39D26BD7"/>
    <w:rsid w:val="39EC58CA"/>
    <w:rsid w:val="3A05639A"/>
    <w:rsid w:val="3A0721F2"/>
    <w:rsid w:val="3A145C13"/>
    <w:rsid w:val="3A2272D1"/>
    <w:rsid w:val="3A383356"/>
    <w:rsid w:val="3A6B135A"/>
    <w:rsid w:val="3A845791"/>
    <w:rsid w:val="3A8D6D60"/>
    <w:rsid w:val="3AA36775"/>
    <w:rsid w:val="3AC72F6F"/>
    <w:rsid w:val="3AE02B5B"/>
    <w:rsid w:val="3AF85078"/>
    <w:rsid w:val="3B0E664A"/>
    <w:rsid w:val="3B2659CB"/>
    <w:rsid w:val="3B4715C8"/>
    <w:rsid w:val="3B474671"/>
    <w:rsid w:val="3B581D29"/>
    <w:rsid w:val="3B795CB1"/>
    <w:rsid w:val="3B7D7C4B"/>
    <w:rsid w:val="3B8B5985"/>
    <w:rsid w:val="3BB015C9"/>
    <w:rsid w:val="3BB116FE"/>
    <w:rsid w:val="3BC877C1"/>
    <w:rsid w:val="3BEB5FD4"/>
    <w:rsid w:val="3BF84C34"/>
    <w:rsid w:val="3C1023B9"/>
    <w:rsid w:val="3C323C12"/>
    <w:rsid w:val="3C40554D"/>
    <w:rsid w:val="3C506539"/>
    <w:rsid w:val="3C6B19AA"/>
    <w:rsid w:val="3C766C4A"/>
    <w:rsid w:val="3C872DE8"/>
    <w:rsid w:val="3CCF60E4"/>
    <w:rsid w:val="3D2161F7"/>
    <w:rsid w:val="3D411F28"/>
    <w:rsid w:val="3D643FA5"/>
    <w:rsid w:val="3D6B1621"/>
    <w:rsid w:val="3D7F3431"/>
    <w:rsid w:val="3D814CB7"/>
    <w:rsid w:val="3DA90F59"/>
    <w:rsid w:val="3DDA513A"/>
    <w:rsid w:val="3DE02E18"/>
    <w:rsid w:val="3DE41C38"/>
    <w:rsid w:val="3E115476"/>
    <w:rsid w:val="3ECC4DFD"/>
    <w:rsid w:val="3ED809E1"/>
    <w:rsid w:val="3EDC7FF5"/>
    <w:rsid w:val="3F39631A"/>
    <w:rsid w:val="3F441AD0"/>
    <w:rsid w:val="3F5031CE"/>
    <w:rsid w:val="3F7647BE"/>
    <w:rsid w:val="3F850092"/>
    <w:rsid w:val="3FC217B4"/>
    <w:rsid w:val="40091F51"/>
    <w:rsid w:val="40176500"/>
    <w:rsid w:val="40533F58"/>
    <w:rsid w:val="408A0737"/>
    <w:rsid w:val="40926D65"/>
    <w:rsid w:val="409D1CF4"/>
    <w:rsid w:val="40BD43CE"/>
    <w:rsid w:val="40C66EA1"/>
    <w:rsid w:val="40E97E3F"/>
    <w:rsid w:val="40FE383F"/>
    <w:rsid w:val="41281E83"/>
    <w:rsid w:val="415155E6"/>
    <w:rsid w:val="4160667B"/>
    <w:rsid w:val="41621DE6"/>
    <w:rsid w:val="41635B71"/>
    <w:rsid w:val="41792343"/>
    <w:rsid w:val="41897A7A"/>
    <w:rsid w:val="418C0A00"/>
    <w:rsid w:val="4191768D"/>
    <w:rsid w:val="41997760"/>
    <w:rsid w:val="41B74CC4"/>
    <w:rsid w:val="41DF2AEE"/>
    <w:rsid w:val="421F22F7"/>
    <w:rsid w:val="421F3AFF"/>
    <w:rsid w:val="425B3B2A"/>
    <w:rsid w:val="427856A6"/>
    <w:rsid w:val="428608AC"/>
    <w:rsid w:val="42A37FC3"/>
    <w:rsid w:val="42BE65FF"/>
    <w:rsid w:val="42D20DC1"/>
    <w:rsid w:val="42DF6C0E"/>
    <w:rsid w:val="42F86CF4"/>
    <w:rsid w:val="42FD7FA3"/>
    <w:rsid w:val="42FF6C68"/>
    <w:rsid w:val="431967FA"/>
    <w:rsid w:val="431C0015"/>
    <w:rsid w:val="43311E8C"/>
    <w:rsid w:val="43331FCB"/>
    <w:rsid w:val="433756C1"/>
    <w:rsid w:val="43430A30"/>
    <w:rsid w:val="43452C90"/>
    <w:rsid w:val="435412BA"/>
    <w:rsid w:val="4357117E"/>
    <w:rsid w:val="43864775"/>
    <w:rsid w:val="438D587A"/>
    <w:rsid w:val="4391627D"/>
    <w:rsid w:val="43EA72C9"/>
    <w:rsid w:val="44063BFB"/>
    <w:rsid w:val="441B29CC"/>
    <w:rsid w:val="441B5506"/>
    <w:rsid w:val="44310593"/>
    <w:rsid w:val="443F0310"/>
    <w:rsid w:val="4482174E"/>
    <w:rsid w:val="44B8793C"/>
    <w:rsid w:val="44C34A63"/>
    <w:rsid w:val="44E81874"/>
    <w:rsid w:val="44EA04BD"/>
    <w:rsid w:val="44FA6857"/>
    <w:rsid w:val="44FF5629"/>
    <w:rsid w:val="450D130F"/>
    <w:rsid w:val="450D5D44"/>
    <w:rsid w:val="45411895"/>
    <w:rsid w:val="454A1405"/>
    <w:rsid w:val="45752D35"/>
    <w:rsid w:val="45C02FF0"/>
    <w:rsid w:val="45C94ACE"/>
    <w:rsid w:val="45CE5353"/>
    <w:rsid w:val="45E55D1B"/>
    <w:rsid w:val="45EA6AE2"/>
    <w:rsid w:val="46244F73"/>
    <w:rsid w:val="4628641B"/>
    <w:rsid w:val="462C5BD6"/>
    <w:rsid w:val="463454EB"/>
    <w:rsid w:val="464239F4"/>
    <w:rsid w:val="465851E1"/>
    <w:rsid w:val="4660714F"/>
    <w:rsid w:val="4673335B"/>
    <w:rsid w:val="46A42BAD"/>
    <w:rsid w:val="46CE08C3"/>
    <w:rsid w:val="46D9084C"/>
    <w:rsid w:val="46FC1A4C"/>
    <w:rsid w:val="46FF778E"/>
    <w:rsid w:val="470D1E04"/>
    <w:rsid w:val="4717730F"/>
    <w:rsid w:val="471809BB"/>
    <w:rsid w:val="473241C0"/>
    <w:rsid w:val="4744630B"/>
    <w:rsid w:val="474E2D7E"/>
    <w:rsid w:val="47523FD4"/>
    <w:rsid w:val="477314FE"/>
    <w:rsid w:val="477C493B"/>
    <w:rsid w:val="4793703D"/>
    <w:rsid w:val="47D621CC"/>
    <w:rsid w:val="482C5464"/>
    <w:rsid w:val="482E4CF3"/>
    <w:rsid w:val="48333A9D"/>
    <w:rsid w:val="48593E3A"/>
    <w:rsid w:val="486950A6"/>
    <w:rsid w:val="4898151A"/>
    <w:rsid w:val="48AE0DAE"/>
    <w:rsid w:val="48C007C6"/>
    <w:rsid w:val="48CB3DCC"/>
    <w:rsid w:val="495E02F9"/>
    <w:rsid w:val="496974DD"/>
    <w:rsid w:val="49741051"/>
    <w:rsid w:val="49851988"/>
    <w:rsid w:val="49891591"/>
    <w:rsid w:val="49BF10F3"/>
    <w:rsid w:val="49D22F38"/>
    <w:rsid w:val="49D96075"/>
    <w:rsid w:val="4A1E41D4"/>
    <w:rsid w:val="4A2665FC"/>
    <w:rsid w:val="4A315108"/>
    <w:rsid w:val="4A374D4A"/>
    <w:rsid w:val="4A423CB1"/>
    <w:rsid w:val="4A4D0C87"/>
    <w:rsid w:val="4AAE31C9"/>
    <w:rsid w:val="4ABB31D3"/>
    <w:rsid w:val="4AE20673"/>
    <w:rsid w:val="4B0435C5"/>
    <w:rsid w:val="4B11000D"/>
    <w:rsid w:val="4B251963"/>
    <w:rsid w:val="4B4C7B13"/>
    <w:rsid w:val="4B5A1922"/>
    <w:rsid w:val="4B625D47"/>
    <w:rsid w:val="4B70083C"/>
    <w:rsid w:val="4BB47E6F"/>
    <w:rsid w:val="4BC5460F"/>
    <w:rsid w:val="4BCB6AF4"/>
    <w:rsid w:val="4BEC4F4D"/>
    <w:rsid w:val="4C022F43"/>
    <w:rsid w:val="4C3504DC"/>
    <w:rsid w:val="4C474F06"/>
    <w:rsid w:val="4C4C2AE2"/>
    <w:rsid w:val="4C87734E"/>
    <w:rsid w:val="4CA84769"/>
    <w:rsid w:val="4CC2013A"/>
    <w:rsid w:val="4CD4021D"/>
    <w:rsid w:val="4CD77448"/>
    <w:rsid w:val="4CEC37E0"/>
    <w:rsid w:val="4CF431C6"/>
    <w:rsid w:val="4CF53255"/>
    <w:rsid w:val="4CFA713E"/>
    <w:rsid w:val="4CFD61CD"/>
    <w:rsid w:val="4D0D4238"/>
    <w:rsid w:val="4D4B4DC0"/>
    <w:rsid w:val="4D6051BE"/>
    <w:rsid w:val="4D740C54"/>
    <w:rsid w:val="4D834C36"/>
    <w:rsid w:val="4DA30673"/>
    <w:rsid w:val="4DCF6D11"/>
    <w:rsid w:val="4E1D7A76"/>
    <w:rsid w:val="4E2C27F7"/>
    <w:rsid w:val="4E576B63"/>
    <w:rsid w:val="4E807407"/>
    <w:rsid w:val="4E8B3DE6"/>
    <w:rsid w:val="4E8C7613"/>
    <w:rsid w:val="4EA27B82"/>
    <w:rsid w:val="4ECC61A8"/>
    <w:rsid w:val="4ECD67F8"/>
    <w:rsid w:val="4EDD6C44"/>
    <w:rsid w:val="4EDD7A4C"/>
    <w:rsid w:val="4EE1443E"/>
    <w:rsid w:val="4EE24539"/>
    <w:rsid w:val="4EEB6FE4"/>
    <w:rsid w:val="4F0E056F"/>
    <w:rsid w:val="4F10280F"/>
    <w:rsid w:val="4F113303"/>
    <w:rsid w:val="4F45794C"/>
    <w:rsid w:val="4F630321"/>
    <w:rsid w:val="4F8C6981"/>
    <w:rsid w:val="4F9D0663"/>
    <w:rsid w:val="4FA964EB"/>
    <w:rsid w:val="4FBA4253"/>
    <w:rsid w:val="4FC44BDE"/>
    <w:rsid w:val="503858D5"/>
    <w:rsid w:val="503B7DCA"/>
    <w:rsid w:val="50410082"/>
    <w:rsid w:val="506E772F"/>
    <w:rsid w:val="508F5E47"/>
    <w:rsid w:val="5092782F"/>
    <w:rsid w:val="50C07479"/>
    <w:rsid w:val="50C10A2C"/>
    <w:rsid w:val="50CC3F16"/>
    <w:rsid w:val="50FF59D8"/>
    <w:rsid w:val="51173095"/>
    <w:rsid w:val="51252790"/>
    <w:rsid w:val="51454C79"/>
    <w:rsid w:val="51642A74"/>
    <w:rsid w:val="5172110B"/>
    <w:rsid w:val="51804D36"/>
    <w:rsid w:val="519D207E"/>
    <w:rsid w:val="51A27694"/>
    <w:rsid w:val="51AB686F"/>
    <w:rsid w:val="51BE3F0A"/>
    <w:rsid w:val="51C13C63"/>
    <w:rsid w:val="52086CCB"/>
    <w:rsid w:val="52133077"/>
    <w:rsid w:val="521352AA"/>
    <w:rsid w:val="52247060"/>
    <w:rsid w:val="523A23B9"/>
    <w:rsid w:val="52493A8C"/>
    <w:rsid w:val="526606C2"/>
    <w:rsid w:val="526D7CA2"/>
    <w:rsid w:val="5274441A"/>
    <w:rsid w:val="52944AE5"/>
    <w:rsid w:val="52A86F2C"/>
    <w:rsid w:val="52B4309D"/>
    <w:rsid w:val="52B7028B"/>
    <w:rsid w:val="52E9198F"/>
    <w:rsid w:val="52FA0059"/>
    <w:rsid w:val="53534F52"/>
    <w:rsid w:val="535350EA"/>
    <w:rsid w:val="537D74BE"/>
    <w:rsid w:val="539465C8"/>
    <w:rsid w:val="53A02F83"/>
    <w:rsid w:val="53B2282C"/>
    <w:rsid w:val="53D37AB2"/>
    <w:rsid w:val="53E97EEF"/>
    <w:rsid w:val="53FC0CC2"/>
    <w:rsid w:val="54371B2E"/>
    <w:rsid w:val="544B1BBE"/>
    <w:rsid w:val="54501F79"/>
    <w:rsid w:val="54627842"/>
    <w:rsid w:val="547C186E"/>
    <w:rsid w:val="547D1967"/>
    <w:rsid w:val="54912693"/>
    <w:rsid w:val="549E015E"/>
    <w:rsid w:val="54BF3716"/>
    <w:rsid w:val="54C23F66"/>
    <w:rsid w:val="54CE6369"/>
    <w:rsid w:val="55140813"/>
    <w:rsid w:val="55142726"/>
    <w:rsid w:val="551D6150"/>
    <w:rsid w:val="556F5ADF"/>
    <w:rsid w:val="55794746"/>
    <w:rsid w:val="557A4897"/>
    <w:rsid w:val="558471AD"/>
    <w:rsid w:val="559726CA"/>
    <w:rsid w:val="55A12107"/>
    <w:rsid w:val="55BB2AD2"/>
    <w:rsid w:val="55D4510C"/>
    <w:rsid w:val="5608686C"/>
    <w:rsid w:val="561A1EEF"/>
    <w:rsid w:val="562A4A5E"/>
    <w:rsid w:val="563C6B7C"/>
    <w:rsid w:val="564022A7"/>
    <w:rsid w:val="56893B0B"/>
    <w:rsid w:val="569F1AC6"/>
    <w:rsid w:val="56E94502"/>
    <w:rsid w:val="56EA34BA"/>
    <w:rsid w:val="56FC654E"/>
    <w:rsid w:val="56FE4F85"/>
    <w:rsid w:val="572F0BCE"/>
    <w:rsid w:val="57463403"/>
    <w:rsid w:val="574B7EB5"/>
    <w:rsid w:val="5757555B"/>
    <w:rsid w:val="575B7CCB"/>
    <w:rsid w:val="57630A7C"/>
    <w:rsid w:val="57683551"/>
    <w:rsid w:val="577C47B2"/>
    <w:rsid w:val="57902A12"/>
    <w:rsid w:val="57BC42F3"/>
    <w:rsid w:val="57BE0B53"/>
    <w:rsid w:val="57C24B91"/>
    <w:rsid w:val="57C973B8"/>
    <w:rsid w:val="57D056B6"/>
    <w:rsid w:val="57FC52AC"/>
    <w:rsid w:val="580908A7"/>
    <w:rsid w:val="580C4638"/>
    <w:rsid w:val="586456A3"/>
    <w:rsid w:val="587B60BA"/>
    <w:rsid w:val="588A2FBF"/>
    <w:rsid w:val="58975E80"/>
    <w:rsid w:val="58C66426"/>
    <w:rsid w:val="58D04A68"/>
    <w:rsid w:val="58DF4C6D"/>
    <w:rsid w:val="58E92C36"/>
    <w:rsid w:val="58EC06A4"/>
    <w:rsid w:val="590E4F6C"/>
    <w:rsid w:val="5911641A"/>
    <w:rsid w:val="59454237"/>
    <w:rsid w:val="595F7260"/>
    <w:rsid w:val="59921808"/>
    <w:rsid w:val="59A304F6"/>
    <w:rsid w:val="59B548F8"/>
    <w:rsid w:val="59CA261D"/>
    <w:rsid w:val="59D316E1"/>
    <w:rsid w:val="59DF04FA"/>
    <w:rsid w:val="59DF7889"/>
    <w:rsid w:val="59E90722"/>
    <w:rsid w:val="59F24C2C"/>
    <w:rsid w:val="5A3E6EA2"/>
    <w:rsid w:val="5A5523ED"/>
    <w:rsid w:val="5A722250"/>
    <w:rsid w:val="5A8E1A85"/>
    <w:rsid w:val="5A975FA5"/>
    <w:rsid w:val="5AA0100F"/>
    <w:rsid w:val="5AA427BA"/>
    <w:rsid w:val="5AA93841"/>
    <w:rsid w:val="5AD12221"/>
    <w:rsid w:val="5AE2600E"/>
    <w:rsid w:val="5AE46088"/>
    <w:rsid w:val="5AF040CA"/>
    <w:rsid w:val="5AF254F6"/>
    <w:rsid w:val="5AF27A31"/>
    <w:rsid w:val="5AF94257"/>
    <w:rsid w:val="5B1B7E0C"/>
    <w:rsid w:val="5B272BC2"/>
    <w:rsid w:val="5B280415"/>
    <w:rsid w:val="5B595267"/>
    <w:rsid w:val="5B630636"/>
    <w:rsid w:val="5B6B635C"/>
    <w:rsid w:val="5B7D2AB1"/>
    <w:rsid w:val="5B7F2878"/>
    <w:rsid w:val="5B93572E"/>
    <w:rsid w:val="5B980CE7"/>
    <w:rsid w:val="5BA134B6"/>
    <w:rsid w:val="5BAC7A61"/>
    <w:rsid w:val="5BB42784"/>
    <w:rsid w:val="5BCE7EFB"/>
    <w:rsid w:val="5BEE5108"/>
    <w:rsid w:val="5BF6704C"/>
    <w:rsid w:val="5BFB5970"/>
    <w:rsid w:val="5C5D4C84"/>
    <w:rsid w:val="5C7268C3"/>
    <w:rsid w:val="5C7D3A74"/>
    <w:rsid w:val="5C921EE5"/>
    <w:rsid w:val="5C997E6C"/>
    <w:rsid w:val="5CB31928"/>
    <w:rsid w:val="5CC56ED5"/>
    <w:rsid w:val="5CE62213"/>
    <w:rsid w:val="5CFB3AEB"/>
    <w:rsid w:val="5D062A8F"/>
    <w:rsid w:val="5D30024A"/>
    <w:rsid w:val="5D330F5F"/>
    <w:rsid w:val="5D3F25D2"/>
    <w:rsid w:val="5D47046D"/>
    <w:rsid w:val="5D482B58"/>
    <w:rsid w:val="5D66028E"/>
    <w:rsid w:val="5D8E1F90"/>
    <w:rsid w:val="5DC2377C"/>
    <w:rsid w:val="5DD27898"/>
    <w:rsid w:val="5DEF5A0F"/>
    <w:rsid w:val="5E025826"/>
    <w:rsid w:val="5E187E2C"/>
    <w:rsid w:val="5E203950"/>
    <w:rsid w:val="5E203E1A"/>
    <w:rsid w:val="5E205D93"/>
    <w:rsid w:val="5E370F19"/>
    <w:rsid w:val="5E3C6F28"/>
    <w:rsid w:val="5E440667"/>
    <w:rsid w:val="5E4849F9"/>
    <w:rsid w:val="5E877079"/>
    <w:rsid w:val="5E8A04EE"/>
    <w:rsid w:val="5E8C54F6"/>
    <w:rsid w:val="5EA06514"/>
    <w:rsid w:val="5EB80AD8"/>
    <w:rsid w:val="5EBB311B"/>
    <w:rsid w:val="5ECA1240"/>
    <w:rsid w:val="5EEE182A"/>
    <w:rsid w:val="5EFF1C82"/>
    <w:rsid w:val="5F0921B2"/>
    <w:rsid w:val="5F0A62A8"/>
    <w:rsid w:val="5F0D241D"/>
    <w:rsid w:val="5F280F77"/>
    <w:rsid w:val="5F37334A"/>
    <w:rsid w:val="5F444295"/>
    <w:rsid w:val="5F4579FE"/>
    <w:rsid w:val="5F993E84"/>
    <w:rsid w:val="5FC3494A"/>
    <w:rsid w:val="5FE315A4"/>
    <w:rsid w:val="5FF22306"/>
    <w:rsid w:val="60123C37"/>
    <w:rsid w:val="603654CC"/>
    <w:rsid w:val="6046773D"/>
    <w:rsid w:val="607358A2"/>
    <w:rsid w:val="607B42BC"/>
    <w:rsid w:val="607D5554"/>
    <w:rsid w:val="608B761C"/>
    <w:rsid w:val="60AA5434"/>
    <w:rsid w:val="60B64AED"/>
    <w:rsid w:val="60BC5EE1"/>
    <w:rsid w:val="60E21390"/>
    <w:rsid w:val="60EA5833"/>
    <w:rsid w:val="60EB1881"/>
    <w:rsid w:val="60FC2552"/>
    <w:rsid w:val="61281E47"/>
    <w:rsid w:val="61505E21"/>
    <w:rsid w:val="61867962"/>
    <w:rsid w:val="61BC096F"/>
    <w:rsid w:val="61D11FE7"/>
    <w:rsid w:val="61DE5722"/>
    <w:rsid w:val="61E0148F"/>
    <w:rsid w:val="61E106F1"/>
    <w:rsid w:val="61FE3A64"/>
    <w:rsid w:val="62156480"/>
    <w:rsid w:val="62170989"/>
    <w:rsid w:val="62175004"/>
    <w:rsid w:val="62887A12"/>
    <w:rsid w:val="6292105F"/>
    <w:rsid w:val="629E3B58"/>
    <w:rsid w:val="62BB6808"/>
    <w:rsid w:val="62D93E7A"/>
    <w:rsid w:val="62EC23D6"/>
    <w:rsid w:val="62EF025F"/>
    <w:rsid w:val="63041110"/>
    <w:rsid w:val="630857B2"/>
    <w:rsid w:val="633E66F2"/>
    <w:rsid w:val="63517439"/>
    <w:rsid w:val="635656A2"/>
    <w:rsid w:val="636422F6"/>
    <w:rsid w:val="638C06D7"/>
    <w:rsid w:val="63AF264A"/>
    <w:rsid w:val="63D7319C"/>
    <w:rsid w:val="63D85088"/>
    <w:rsid w:val="63FF5EE5"/>
    <w:rsid w:val="640E2D9B"/>
    <w:rsid w:val="640F579C"/>
    <w:rsid w:val="641461CF"/>
    <w:rsid w:val="64285F4C"/>
    <w:rsid w:val="644776FA"/>
    <w:rsid w:val="64752F5B"/>
    <w:rsid w:val="649E21AF"/>
    <w:rsid w:val="64A13456"/>
    <w:rsid w:val="64B22CC0"/>
    <w:rsid w:val="64CF1696"/>
    <w:rsid w:val="64D43BB1"/>
    <w:rsid w:val="64E07657"/>
    <w:rsid w:val="65401246"/>
    <w:rsid w:val="65410C67"/>
    <w:rsid w:val="6542499D"/>
    <w:rsid w:val="6546297B"/>
    <w:rsid w:val="654B787F"/>
    <w:rsid w:val="656301EC"/>
    <w:rsid w:val="6563027E"/>
    <w:rsid w:val="65631994"/>
    <w:rsid w:val="656E2D6F"/>
    <w:rsid w:val="65703FA5"/>
    <w:rsid w:val="657A739B"/>
    <w:rsid w:val="65B25CA0"/>
    <w:rsid w:val="65B405F7"/>
    <w:rsid w:val="65C64938"/>
    <w:rsid w:val="65C73DF1"/>
    <w:rsid w:val="660779F2"/>
    <w:rsid w:val="662E3C80"/>
    <w:rsid w:val="663016BC"/>
    <w:rsid w:val="66362135"/>
    <w:rsid w:val="666226AB"/>
    <w:rsid w:val="6680010E"/>
    <w:rsid w:val="66C472A8"/>
    <w:rsid w:val="66CE600A"/>
    <w:rsid w:val="66D46525"/>
    <w:rsid w:val="670A1F5E"/>
    <w:rsid w:val="67166137"/>
    <w:rsid w:val="671A1661"/>
    <w:rsid w:val="671F0691"/>
    <w:rsid w:val="67254508"/>
    <w:rsid w:val="672B1371"/>
    <w:rsid w:val="67321978"/>
    <w:rsid w:val="674E1AFA"/>
    <w:rsid w:val="6759214B"/>
    <w:rsid w:val="676F5AE3"/>
    <w:rsid w:val="6774507E"/>
    <w:rsid w:val="679C6C08"/>
    <w:rsid w:val="67C4409C"/>
    <w:rsid w:val="67CE7505"/>
    <w:rsid w:val="67D81079"/>
    <w:rsid w:val="67FD3592"/>
    <w:rsid w:val="680A0403"/>
    <w:rsid w:val="680B555A"/>
    <w:rsid w:val="68141A72"/>
    <w:rsid w:val="681B3149"/>
    <w:rsid w:val="683D7280"/>
    <w:rsid w:val="6850354E"/>
    <w:rsid w:val="685F6F1B"/>
    <w:rsid w:val="6866402E"/>
    <w:rsid w:val="687E6D65"/>
    <w:rsid w:val="68BE6BAF"/>
    <w:rsid w:val="68BF17D8"/>
    <w:rsid w:val="68C75852"/>
    <w:rsid w:val="68D7033C"/>
    <w:rsid w:val="68D72F72"/>
    <w:rsid w:val="68D86F09"/>
    <w:rsid w:val="68DC0367"/>
    <w:rsid w:val="68F95994"/>
    <w:rsid w:val="69134578"/>
    <w:rsid w:val="692431F8"/>
    <w:rsid w:val="6927468E"/>
    <w:rsid w:val="69280986"/>
    <w:rsid w:val="69360996"/>
    <w:rsid w:val="69537901"/>
    <w:rsid w:val="697F231B"/>
    <w:rsid w:val="6998654A"/>
    <w:rsid w:val="699B4C9C"/>
    <w:rsid w:val="699B77E1"/>
    <w:rsid w:val="69B733A3"/>
    <w:rsid w:val="69B7388F"/>
    <w:rsid w:val="69D20B02"/>
    <w:rsid w:val="69DB2B0F"/>
    <w:rsid w:val="69E91EAC"/>
    <w:rsid w:val="69EA4E4A"/>
    <w:rsid w:val="69EE74C3"/>
    <w:rsid w:val="69F22AE7"/>
    <w:rsid w:val="6A1224C5"/>
    <w:rsid w:val="6A152402"/>
    <w:rsid w:val="6A6135B0"/>
    <w:rsid w:val="6A6143F8"/>
    <w:rsid w:val="6A7F310B"/>
    <w:rsid w:val="6A8931D1"/>
    <w:rsid w:val="6A8C3922"/>
    <w:rsid w:val="6A927114"/>
    <w:rsid w:val="6AC518C6"/>
    <w:rsid w:val="6B094004"/>
    <w:rsid w:val="6B2B2381"/>
    <w:rsid w:val="6B462610"/>
    <w:rsid w:val="6B532089"/>
    <w:rsid w:val="6B607F4C"/>
    <w:rsid w:val="6B622779"/>
    <w:rsid w:val="6B9D7FB1"/>
    <w:rsid w:val="6BAD4E66"/>
    <w:rsid w:val="6BDD5BD1"/>
    <w:rsid w:val="6BF54B38"/>
    <w:rsid w:val="6C3832CC"/>
    <w:rsid w:val="6C517895"/>
    <w:rsid w:val="6C544736"/>
    <w:rsid w:val="6C5703E3"/>
    <w:rsid w:val="6C681B99"/>
    <w:rsid w:val="6C6A36E0"/>
    <w:rsid w:val="6C7813E0"/>
    <w:rsid w:val="6C86528A"/>
    <w:rsid w:val="6CC0472C"/>
    <w:rsid w:val="6CD4034C"/>
    <w:rsid w:val="6CDF5C31"/>
    <w:rsid w:val="6CE2773A"/>
    <w:rsid w:val="6CE75A8A"/>
    <w:rsid w:val="6CF00099"/>
    <w:rsid w:val="6CF547C3"/>
    <w:rsid w:val="6D081439"/>
    <w:rsid w:val="6D297F54"/>
    <w:rsid w:val="6D2B3D29"/>
    <w:rsid w:val="6D357548"/>
    <w:rsid w:val="6D386A99"/>
    <w:rsid w:val="6D3C6BED"/>
    <w:rsid w:val="6D832799"/>
    <w:rsid w:val="6D864373"/>
    <w:rsid w:val="6D8B6B15"/>
    <w:rsid w:val="6DC0708B"/>
    <w:rsid w:val="6DDE5556"/>
    <w:rsid w:val="6E1E638F"/>
    <w:rsid w:val="6E63749E"/>
    <w:rsid w:val="6E7611E0"/>
    <w:rsid w:val="6EA4701E"/>
    <w:rsid w:val="6EA84C5F"/>
    <w:rsid w:val="6ED432D7"/>
    <w:rsid w:val="6ED57769"/>
    <w:rsid w:val="6EE15B07"/>
    <w:rsid w:val="6EEA4654"/>
    <w:rsid w:val="6F091DBD"/>
    <w:rsid w:val="6F3A1D7E"/>
    <w:rsid w:val="6F4524A9"/>
    <w:rsid w:val="6F554D81"/>
    <w:rsid w:val="6F687291"/>
    <w:rsid w:val="6FB36C89"/>
    <w:rsid w:val="6FB40F34"/>
    <w:rsid w:val="6FBB324C"/>
    <w:rsid w:val="6FBE5A75"/>
    <w:rsid w:val="6FEA7776"/>
    <w:rsid w:val="7013581E"/>
    <w:rsid w:val="70227EC6"/>
    <w:rsid w:val="704334A7"/>
    <w:rsid w:val="705F6660"/>
    <w:rsid w:val="70911C7D"/>
    <w:rsid w:val="7099111C"/>
    <w:rsid w:val="70AA4EBB"/>
    <w:rsid w:val="70BA00FF"/>
    <w:rsid w:val="70BC04CC"/>
    <w:rsid w:val="70CD2BE3"/>
    <w:rsid w:val="70D6485C"/>
    <w:rsid w:val="70DE0D58"/>
    <w:rsid w:val="70F81394"/>
    <w:rsid w:val="71075FD0"/>
    <w:rsid w:val="710C6F8F"/>
    <w:rsid w:val="710E2F16"/>
    <w:rsid w:val="712310E3"/>
    <w:rsid w:val="71395512"/>
    <w:rsid w:val="71427A3F"/>
    <w:rsid w:val="716B74F3"/>
    <w:rsid w:val="71836F74"/>
    <w:rsid w:val="718D2B8A"/>
    <w:rsid w:val="71981E51"/>
    <w:rsid w:val="7199356C"/>
    <w:rsid w:val="71C273D5"/>
    <w:rsid w:val="71CF5BB9"/>
    <w:rsid w:val="71E75EA8"/>
    <w:rsid w:val="720F626F"/>
    <w:rsid w:val="721260DE"/>
    <w:rsid w:val="72212552"/>
    <w:rsid w:val="724C68DA"/>
    <w:rsid w:val="726212B2"/>
    <w:rsid w:val="72651109"/>
    <w:rsid w:val="729C519E"/>
    <w:rsid w:val="72CB7832"/>
    <w:rsid w:val="72E050AD"/>
    <w:rsid w:val="72F127A6"/>
    <w:rsid w:val="73074C17"/>
    <w:rsid w:val="731D4975"/>
    <w:rsid w:val="73483CAA"/>
    <w:rsid w:val="73802BB0"/>
    <w:rsid w:val="738F251B"/>
    <w:rsid w:val="73AA2973"/>
    <w:rsid w:val="73ED2E90"/>
    <w:rsid w:val="73FA11A6"/>
    <w:rsid w:val="74084F23"/>
    <w:rsid w:val="74237D69"/>
    <w:rsid w:val="744175F7"/>
    <w:rsid w:val="744B3008"/>
    <w:rsid w:val="747D391D"/>
    <w:rsid w:val="749B1A93"/>
    <w:rsid w:val="749C2E31"/>
    <w:rsid w:val="74A41597"/>
    <w:rsid w:val="74F16132"/>
    <w:rsid w:val="74FD0E8A"/>
    <w:rsid w:val="74FD67D7"/>
    <w:rsid w:val="750028E3"/>
    <w:rsid w:val="7509226F"/>
    <w:rsid w:val="7580612A"/>
    <w:rsid w:val="75816CD2"/>
    <w:rsid w:val="75AC3158"/>
    <w:rsid w:val="75B36395"/>
    <w:rsid w:val="75D03EE9"/>
    <w:rsid w:val="75F05265"/>
    <w:rsid w:val="768B6004"/>
    <w:rsid w:val="76AE1C7A"/>
    <w:rsid w:val="76BC797A"/>
    <w:rsid w:val="76F075D9"/>
    <w:rsid w:val="76F448E7"/>
    <w:rsid w:val="76FD4773"/>
    <w:rsid w:val="773C186D"/>
    <w:rsid w:val="7744335E"/>
    <w:rsid w:val="77B92D99"/>
    <w:rsid w:val="77C15664"/>
    <w:rsid w:val="77C6480C"/>
    <w:rsid w:val="77D20ED4"/>
    <w:rsid w:val="77E34FC6"/>
    <w:rsid w:val="77F01CB8"/>
    <w:rsid w:val="77F959B0"/>
    <w:rsid w:val="780044BA"/>
    <w:rsid w:val="780A7A56"/>
    <w:rsid w:val="78180C6C"/>
    <w:rsid w:val="783F5F2F"/>
    <w:rsid w:val="787A18C5"/>
    <w:rsid w:val="78B87FA4"/>
    <w:rsid w:val="78D02CE6"/>
    <w:rsid w:val="78D034A1"/>
    <w:rsid w:val="78D2466D"/>
    <w:rsid w:val="78D35660"/>
    <w:rsid w:val="78F0363C"/>
    <w:rsid w:val="79175833"/>
    <w:rsid w:val="7917793D"/>
    <w:rsid w:val="791E3CEA"/>
    <w:rsid w:val="79261F8A"/>
    <w:rsid w:val="793F2B9A"/>
    <w:rsid w:val="79725C7F"/>
    <w:rsid w:val="79822695"/>
    <w:rsid w:val="79966BBF"/>
    <w:rsid w:val="799B65F3"/>
    <w:rsid w:val="79A03FCC"/>
    <w:rsid w:val="79A2472A"/>
    <w:rsid w:val="79B269F2"/>
    <w:rsid w:val="79C605B7"/>
    <w:rsid w:val="79CD307D"/>
    <w:rsid w:val="79DA3CBA"/>
    <w:rsid w:val="79FD3647"/>
    <w:rsid w:val="7A0B6AE4"/>
    <w:rsid w:val="7A212B71"/>
    <w:rsid w:val="7A2471B8"/>
    <w:rsid w:val="7A3C3932"/>
    <w:rsid w:val="7A5404D6"/>
    <w:rsid w:val="7A6811CD"/>
    <w:rsid w:val="7A8330E7"/>
    <w:rsid w:val="7AA40889"/>
    <w:rsid w:val="7AD81A44"/>
    <w:rsid w:val="7AEF47C4"/>
    <w:rsid w:val="7AF915D9"/>
    <w:rsid w:val="7B0D0F96"/>
    <w:rsid w:val="7B1F263B"/>
    <w:rsid w:val="7B5E02B4"/>
    <w:rsid w:val="7BA02655"/>
    <w:rsid w:val="7BAD3552"/>
    <w:rsid w:val="7BC10582"/>
    <w:rsid w:val="7BC91278"/>
    <w:rsid w:val="7BF55D5B"/>
    <w:rsid w:val="7BF661A1"/>
    <w:rsid w:val="7C321E4A"/>
    <w:rsid w:val="7C4A5A09"/>
    <w:rsid w:val="7C870AD2"/>
    <w:rsid w:val="7C9E2682"/>
    <w:rsid w:val="7CAB3758"/>
    <w:rsid w:val="7CD04E86"/>
    <w:rsid w:val="7D1327EE"/>
    <w:rsid w:val="7D183DD2"/>
    <w:rsid w:val="7D1D6A52"/>
    <w:rsid w:val="7D310DF3"/>
    <w:rsid w:val="7D333229"/>
    <w:rsid w:val="7D4871D0"/>
    <w:rsid w:val="7D4F7E21"/>
    <w:rsid w:val="7D5B3BD7"/>
    <w:rsid w:val="7DBB1012"/>
    <w:rsid w:val="7DCF2D9F"/>
    <w:rsid w:val="7DE7375E"/>
    <w:rsid w:val="7DEB1781"/>
    <w:rsid w:val="7E126E0B"/>
    <w:rsid w:val="7E132D54"/>
    <w:rsid w:val="7E171B50"/>
    <w:rsid w:val="7E2F303A"/>
    <w:rsid w:val="7E4847F9"/>
    <w:rsid w:val="7E4A5274"/>
    <w:rsid w:val="7E4B4BAC"/>
    <w:rsid w:val="7E4E3093"/>
    <w:rsid w:val="7E7B254B"/>
    <w:rsid w:val="7E885398"/>
    <w:rsid w:val="7E9006F1"/>
    <w:rsid w:val="7EA51CCC"/>
    <w:rsid w:val="7EB165A8"/>
    <w:rsid w:val="7EC43334"/>
    <w:rsid w:val="7ECD1EC1"/>
    <w:rsid w:val="7EE54A62"/>
    <w:rsid w:val="7F043C8F"/>
    <w:rsid w:val="7F2D437F"/>
    <w:rsid w:val="7F2D57B6"/>
    <w:rsid w:val="7F38708F"/>
    <w:rsid w:val="7F63433B"/>
    <w:rsid w:val="7F6A2AEC"/>
    <w:rsid w:val="7F6E0A32"/>
    <w:rsid w:val="7F8C2203"/>
    <w:rsid w:val="7FB93BD4"/>
    <w:rsid w:val="7FC5147F"/>
    <w:rsid w:val="7FC76253"/>
    <w:rsid w:val="7FD765A2"/>
    <w:rsid w:val="7FE56A02"/>
    <w:rsid w:val="7FE8202C"/>
    <w:rsid w:val="7FF52F01"/>
    <w:rsid w:val="7FFA4074"/>
    <w:rsid w:val="7FFB33E4"/>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qFormat="1" w:unhideWhenUsed="0" w:uiPriority="99" w:semiHidden="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qFormat="1" w:unhideWhenUsed="0" w:uiPriority="99" w:semiHidden="0"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1"/>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link w:val="42"/>
    <w:qFormat/>
    <w:uiPriority w:val="9"/>
    <w:pPr>
      <w:keepNext/>
      <w:keepLines/>
      <w:numPr>
        <w:ilvl w:val="1"/>
        <w:numId w:val="1"/>
      </w:numPr>
      <w:suppressAutoHyphens/>
      <w:spacing w:before="260" w:after="260" w:line="415" w:lineRule="auto"/>
      <w:jc w:val="left"/>
      <w:textAlignment w:val="baseline"/>
      <w:outlineLvl w:val="1"/>
    </w:pPr>
    <w:rPr>
      <w:rFonts w:ascii="Cambria" w:hAnsi="Cambria"/>
      <w:b/>
      <w:bCs/>
      <w:kern w:val="0"/>
      <w:sz w:val="32"/>
      <w:szCs w:val="32"/>
    </w:rPr>
  </w:style>
  <w:style w:type="paragraph" w:styleId="6">
    <w:name w:val="heading 3"/>
    <w:basedOn w:val="1"/>
    <w:next w:val="1"/>
    <w:link w:val="43"/>
    <w:qFormat/>
    <w:uiPriority w:val="9"/>
    <w:pPr>
      <w:keepNext/>
      <w:keepLines/>
      <w:numPr>
        <w:ilvl w:val="2"/>
        <w:numId w:val="1"/>
      </w:numPr>
      <w:suppressAutoHyphens/>
      <w:spacing w:before="260" w:after="260" w:line="415" w:lineRule="auto"/>
      <w:jc w:val="left"/>
      <w:textAlignment w:val="baseline"/>
      <w:outlineLvl w:val="2"/>
    </w:pPr>
    <w:rPr>
      <w:rFonts w:ascii="Calibri" w:hAnsi="Calibri"/>
      <w:b/>
      <w:bCs/>
      <w:kern w:val="0"/>
      <w:sz w:val="32"/>
      <w:szCs w:val="32"/>
    </w:rPr>
  </w:style>
  <w:style w:type="paragraph" w:styleId="7">
    <w:name w:val="heading 4"/>
    <w:basedOn w:val="1"/>
    <w:next w:val="1"/>
    <w:link w:val="44"/>
    <w:qFormat/>
    <w:uiPriority w:val="9"/>
    <w:pPr>
      <w:keepNext/>
      <w:keepLines/>
      <w:spacing w:before="280" w:after="290" w:line="377" w:lineRule="auto"/>
      <w:ind w:firstLine="200" w:firstLineChars="200"/>
      <w:outlineLvl w:val="3"/>
    </w:pPr>
    <w:rPr>
      <w:rFonts w:ascii="Cambria" w:hAnsi="Cambria"/>
      <w:b/>
      <w:bCs/>
      <w:kern w:val="0"/>
      <w:sz w:val="28"/>
      <w:szCs w:val="28"/>
    </w:rPr>
  </w:style>
  <w:style w:type="paragraph" w:styleId="8">
    <w:name w:val="heading 5"/>
    <w:basedOn w:val="1"/>
    <w:next w:val="1"/>
    <w:link w:val="45"/>
    <w:qFormat/>
    <w:uiPriority w:val="9"/>
    <w:pPr>
      <w:keepNext/>
      <w:keepLines/>
      <w:spacing w:before="280" w:after="290" w:line="377" w:lineRule="auto"/>
      <w:ind w:firstLine="200" w:firstLineChars="200"/>
      <w:outlineLvl w:val="4"/>
    </w:pPr>
    <w:rPr>
      <w:rFonts w:ascii="Calibri" w:hAnsi="Calibri"/>
      <w:b/>
      <w:bCs/>
      <w:kern w:val="0"/>
      <w:sz w:val="28"/>
      <w:szCs w:val="28"/>
    </w:rPr>
  </w:style>
  <w:style w:type="character" w:default="1" w:styleId="35">
    <w:name w:val="Default Paragraph Font"/>
    <w:semiHidden/>
    <w:unhideWhenUsed/>
    <w:qFormat/>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next w:val="1"/>
    <w:link w:val="49"/>
    <w:qFormat/>
    <w:uiPriority w:val="99"/>
    <w:pPr>
      <w:spacing w:after="120"/>
    </w:pPr>
    <w:rPr>
      <w:rFonts w:ascii="Calibri" w:hAnsi="Calibri"/>
      <w:kern w:val="0"/>
      <w:sz w:val="20"/>
    </w:rPr>
  </w:style>
  <w:style w:type="paragraph" w:styleId="9">
    <w:name w:val="toc 7"/>
    <w:basedOn w:val="1"/>
    <w:next w:val="1"/>
    <w:semiHidden/>
    <w:qFormat/>
    <w:uiPriority w:val="99"/>
    <w:pPr>
      <w:ind w:left="2520" w:leftChars="1200"/>
    </w:pPr>
  </w:style>
  <w:style w:type="paragraph" w:styleId="10">
    <w:name w:val="toa heading"/>
    <w:basedOn w:val="1"/>
    <w:next w:val="1"/>
    <w:qFormat/>
    <w:uiPriority w:val="0"/>
    <w:pPr>
      <w:spacing w:before="120" w:after="100" w:afterAutospacing="1"/>
    </w:pPr>
    <w:rPr>
      <w:rFonts w:ascii="Arial" w:hAnsi="Arial" w:cs="Arial"/>
      <w:sz w:val="24"/>
    </w:rPr>
  </w:style>
  <w:style w:type="paragraph" w:styleId="11">
    <w:name w:val="annotation text"/>
    <w:basedOn w:val="1"/>
    <w:link w:val="46"/>
    <w:semiHidden/>
    <w:qFormat/>
    <w:uiPriority w:val="99"/>
    <w:pPr>
      <w:jc w:val="left"/>
    </w:pPr>
    <w:rPr>
      <w:rFonts w:ascii="Calibri" w:hAnsi="Calibri"/>
      <w:kern w:val="0"/>
      <w:sz w:val="20"/>
    </w:rPr>
  </w:style>
  <w:style w:type="paragraph" w:styleId="12">
    <w:name w:val="Closing"/>
    <w:basedOn w:val="1"/>
    <w:next w:val="1"/>
    <w:link w:val="48"/>
    <w:qFormat/>
    <w:uiPriority w:val="99"/>
    <w:pPr>
      <w:ind w:left="4320"/>
    </w:pPr>
    <w:rPr>
      <w:rFonts w:ascii="Calibri" w:hAnsi="Calibri"/>
      <w:kern w:val="0"/>
      <w:sz w:val="20"/>
    </w:rPr>
  </w:style>
  <w:style w:type="paragraph" w:styleId="13">
    <w:name w:val="Body Text Indent"/>
    <w:basedOn w:val="1"/>
    <w:link w:val="50"/>
    <w:qFormat/>
    <w:uiPriority w:val="99"/>
    <w:pPr>
      <w:ind w:firstLine="480"/>
    </w:pPr>
    <w:rPr>
      <w:rFonts w:ascii="Calibri" w:hAnsi="Calibri"/>
      <w:kern w:val="0"/>
      <w:sz w:val="20"/>
    </w:rPr>
  </w:style>
  <w:style w:type="paragraph" w:styleId="14">
    <w:name w:val="toc 5"/>
    <w:basedOn w:val="1"/>
    <w:next w:val="1"/>
    <w:semiHidden/>
    <w:qFormat/>
    <w:uiPriority w:val="99"/>
    <w:pPr>
      <w:ind w:left="1680" w:leftChars="800"/>
    </w:pPr>
  </w:style>
  <w:style w:type="paragraph" w:styleId="15">
    <w:name w:val="toc 3"/>
    <w:basedOn w:val="1"/>
    <w:next w:val="1"/>
    <w:qFormat/>
    <w:uiPriority w:val="39"/>
    <w:pPr>
      <w:ind w:left="840" w:leftChars="400"/>
    </w:pPr>
  </w:style>
  <w:style w:type="paragraph" w:styleId="16">
    <w:name w:val="Plain Text"/>
    <w:basedOn w:val="1"/>
    <w:link w:val="51"/>
    <w:qFormat/>
    <w:uiPriority w:val="0"/>
    <w:rPr>
      <w:rFonts w:ascii="宋体" w:hAnsi="Courier New"/>
      <w:szCs w:val="20"/>
    </w:rPr>
  </w:style>
  <w:style w:type="paragraph" w:styleId="17">
    <w:name w:val="toc 8"/>
    <w:basedOn w:val="1"/>
    <w:next w:val="1"/>
    <w:semiHidden/>
    <w:qFormat/>
    <w:uiPriority w:val="99"/>
    <w:pPr>
      <w:ind w:left="2940" w:leftChars="1400"/>
    </w:pPr>
  </w:style>
  <w:style w:type="paragraph" w:styleId="18">
    <w:name w:val="Date"/>
    <w:basedOn w:val="1"/>
    <w:next w:val="1"/>
    <w:link w:val="52"/>
    <w:qFormat/>
    <w:uiPriority w:val="99"/>
    <w:pPr>
      <w:ind w:left="100" w:leftChars="2500"/>
    </w:pPr>
    <w:rPr>
      <w:rFonts w:ascii="Calibri" w:hAnsi="Calibri"/>
      <w:kern w:val="0"/>
      <w:sz w:val="20"/>
    </w:rPr>
  </w:style>
  <w:style w:type="paragraph" w:styleId="19">
    <w:name w:val="Body Text Indent 2"/>
    <w:basedOn w:val="1"/>
    <w:link w:val="53"/>
    <w:qFormat/>
    <w:uiPriority w:val="99"/>
    <w:pPr>
      <w:spacing w:line="400" w:lineRule="exact"/>
      <w:ind w:firstLine="840" w:firstLineChars="400"/>
    </w:pPr>
    <w:rPr>
      <w:rFonts w:ascii="Calibri" w:hAnsi="Calibri"/>
      <w:kern w:val="0"/>
      <w:sz w:val="20"/>
    </w:rPr>
  </w:style>
  <w:style w:type="paragraph" w:styleId="20">
    <w:name w:val="endnote text"/>
    <w:basedOn w:val="1"/>
    <w:link w:val="54"/>
    <w:qFormat/>
    <w:uiPriority w:val="99"/>
    <w:pPr>
      <w:snapToGrid w:val="0"/>
    </w:pPr>
    <w:rPr>
      <w:rFonts w:ascii="Calibri" w:hAnsi="Calibri"/>
      <w:szCs w:val="21"/>
    </w:rPr>
  </w:style>
  <w:style w:type="paragraph" w:styleId="21">
    <w:name w:val="Balloon Text"/>
    <w:basedOn w:val="1"/>
    <w:link w:val="55"/>
    <w:semiHidden/>
    <w:qFormat/>
    <w:uiPriority w:val="99"/>
    <w:rPr>
      <w:rFonts w:ascii="Calibri" w:hAnsi="Calibri"/>
      <w:kern w:val="0"/>
      <w:sz w:val="0"/>
      <w:szCs w:val="0"/>
    </w:rPr>
  </w:style>
  <w:style w:type="paragraph" w:styleId="22">
    <w:name w:val="footer"/>
    <w:basedOn w:val="1"/>
    <w:link w:val="56"/>
    <w:qFormat/>
    <w:uiPriority w:val="99"/>
    <w:pPr>
      <w:tabs>
        <w:tab w:val="center" w:pos="4153"/>
        <w:tab w:val="right" w:pos="8306"/>
      </w:tabs>
      <w:snapToGrid w:val="0"/>
      <w:jc w:val="left"/>
    </w:pPr>
    <w:rPr>
      <w:rFonts w:ascii="Calibri" w:hAnsi="Calibri"/>
      <w:kern w:val="0"/>
      <w:sz w:val="18"/>
      <w:szCs w:val="18"/>
    </w:rPr>
  </w:style>
  <w:style w:type="paragraph" w:styleId="23">
    <w:name w:val="header"/>
    <w:basedOn w:val="1"/>
    <w:link w:val="57"/>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24">
    <w:name w:val="toc 1"/>
    <w:basedOn w:val="4"/>
    <w:next w:val="1"/>
    <w:qFormat/>
    <w:uiPriority w:val="39"/>
    <w:pPr>
      <w:spacing w:before="0" w:after="0" w:line="240" w:lineRule="auto"/>
    </w:pPr>
    <w:rPr>
      <w:sz w:val="24"/>
    </w:rPr>
  </w:style>
  <w:style w:type="paragraph" w:styleId="25">
    <w:name w:val="toc 4"/>
    <w:basedOn w:val="1"/>
    <w:next w:val="1"/>
    <w:semiHidden/>
    <w:qFormat/>
    <w:uiPriority w:val="99"/>
    <w:pPr>
      <w:ind w:left="1260" w:leftChars="600"/>
    </w:pPr>
  </w:style>
  <w:style w:type="paragraph" w:styleId="26">
    <w:name w:val="toc 6"/>
    <w:basedOn w:val="1"/>
    <w:next w:val="1"/>
    <w:semiHidden/>
    <w:qFormat/>
    <w:uiPriority w:val="99"/>
    <w:pPr>
      <w:ind w:left="2100" w:leftChars="1000"/>
    </w:pPr>
  </w:style>
  <w:style w:type="paragraph" w:styleId="27">
    <w:name w:val="Body Text Indent 3"/>
    <w:basedOn w:val="1"/>
    <w:link w:val="58"/>
    <w:qFormat/>
    <w:uiPriority w:val="99"/>
    <w:pPr>
      <w:spacing w:line="400" w:lineRule="exact"/>
      <w:ind w:left="2" w:leftChars="1"/>
    </w:pPr>
    <w:rPr>
      <w:rFonts w:ascii="Calibri" w:hAnsi="Calibri"/>
      <w:kern w:val="0"/>
      <w:sz w:val="16"/>
      <w:szCs w:val="16"/>
    </w:rPr>
  </w:style>
  <w:style w:type="paragraph" w:styleId="28">
    <w:name w:val="toc 2"/>
    <w:basedOn w:val="1"/>
    <w:next w:val="1"/>
    <w:qFormat/>
    <w:uiPriority w:val="39"/>
    <w:pPr>
      <w:ind w:left="420" w:leftChars="200"/>
    </w:pPr>
  </w:style>
  <w:style w:type="paragraph" w:styleId="29">
    <w:name w:val="toc 9"/>
    <w:basedOn w:val="1"/>
    <w:next w:val="1"/>
    <w:semiHidden/>
    <w:qFormat/>
    <w:uiPriority w:val="99"/>
    <w:pPr>
      <w:ind w:left="3360" w:leftChars="1600"/>
    </w:pPr>
  </w:style>
  <w:style w:type="paragraph" w:styleId="30">
    <w:name w:val="Body Text 2"/>
    <w:basedOn w:val="1"/>
    <w:link w:val="59"/>
    <w:qFormat/>
    <w:uiPriority w:val="0"/>
    <w:rPr>
      <w:rFonts w:ascii="宋体" w:hAnsi="Calibri"/>
      <w:sz w:val="30"/>
      <w:szCs w:val="20"/>
    </w:r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2">
    <w:name w:val="annotation subject"/>
    <w:basedOn w:val="11"/>
    <w:next w:val="11"/>
    <w:link w:val="47"/>
    <w:semiHidden/>
    <w:qFormat/>
    <w:uiPriority w:val="99"/>
    <w:rPr>
      <w:b/>
      <w:bCs/>
    </w:rPr>
  </w:style>
  <w:style w:type="table" w:styleId="34">
    <w:name w:val="Table Grid"/>
    <w:basedOn w:val="3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qFormat/>
    <w:uiPriority w:val="99"/>
    <w:rPr>
      <w:rFonts w:cs="Times New Roman"/>
    </w:rPr>
  </w:style>
  <w:style w:type="character" w:styleId="37">
    <w:name w:val="FollowedHyperlink"/>
    <w:qFormat/>
    <w:uiPriority w:val="99"/>
    <w:rPr>
      <w:rFonts w:cs="Times New Roman"/>
      <w:color w:val="800080"/>
      <w:u w:val="single"/>
    </w:rPr>
  </w:style>
  <w:style w:type="character" w:styleId="38">
    <w:name w:val="Hyperlink"/>
    <w:basedOn w:val="35"/>
    <w:qFormat/>
    <w:uiPriority w:val="99"/>
    <w:rPr>
      <w:rFonts w:cs="Times New Roman"/>
      <w:color w:val="0000FF"/>
      <w:u w:val="single"/>
    </w:rPr>
  </w:style>
  <w:style w:type="character" w:styleId="39">
    <w:name w:val="annotation reference"/>
    <w:semiHidden/>
    <w:qFormat/>
    <w:uiPriority w:val="99"/>
    <w:rPr>
      <w:rFonts w:cs="Times New Roman"/>
      <w:sz w:val="21"/>
    </w:rPr>
  </w:style>
  <w:style w:type="paragraph" w:customStyle="1" w:styleId="40">
    <w:name w:val="列出段落1"/>
    <w:basedOn w:val="1"/>
    <w:qFormat/>
    <w:uiPriority w:val="34"/>
    <w:pPr>
      <w:ind w:firstLine="420" w:firstLineChars="200"/>
    </w:pPr>
  </w:style>
  <w:style w:type="character" w:customStyle="1" w:styleId="41">
    <w:name w:val="标题 1 字符"/>
    <w:link w:val="4"/>
    <w:qFormat/>
    <w:uiPriority w:val="9"/>
    <w:rPr>
      <w:b/>
      <w:bCs/>
      <w:kern w:val="44"/>
      <w:sz w:val="44"/>
      <w:szCs w:val="44"/>
    </w:rPr>
  </w:style>
  <w:style w:type="character" w:customStyle="1" w:styleId="42">
    <w:name w:val="标题 2 字符"/>
    <w:link w:val="5"/>
    <w:semiHidden/>
    <w:qFormat/>
    <w:uiPriority w:val="9"/>
    <w:rPr>
      <w:rFonts w:ascii="Cambria" w:hAnsi="Cambria" w:eastAsia="宋体" w:cs="Times New Roman"/>
      <w:b/>
      <w:bCs/>
      <w:sz w:val="32"/>
      <w:szCs w:val="32"/>
    </w:rPr>
  </w:style>
  <w:style w:type="character" w:customStyle="1" w:styleId="43">
    <w:name w:val="标题 3 字符"/>
    <w:link w:val="6"/>
    <w:semiHidden/>
    <w:qFormat/>
    <w:uiPriority w:val="9"/>
    <w:rPr>
      <w:b/>
      <w:bCs/>
      <w:sz w:val="32"/>
      <w:szCs w:val="32"/>
    </w:rPr>
  </w:style>
  <w:style w:type="character" w:customStyle="1" w:styleId="44">
    <w:name w:val="标题 4 字符"/>
    <w:link w:val="7"/>
    <w:semiHidden/>
    <w:qFormat/>
    <w:uiPriority w:val="9"/>
    <w:rPr>
      <w:rFonts w:ascii="Cambria" w:hAnsi="Cambria" w:eastAsia="宋体" w:cs="Times New Roman"/>
      <w:b/>
      <w:bCs/>
      <w:sz w:val="28"/>
      <w:szCs w:val="28"/>
    </w:rPr>
  </w:style>
  <w:style w:type="character" w:customStyle="1" w:styleId="45">
    <w:name w:val="标题 5 字符"/>
    <w:link w:val="8"/>
    <w:semiHidden/>
    <w:qFormat/>
    <w:uiPriority w:val="9"/>
    <w:rPr>
      <w:b/>
      <w:bCs/>
      <w:sz w:val="28"/>
      <w:szCs w:val="28"/>
    </w:rPr>
  </w:style>
  <w:style w:type="character" w:customStyle="1" w:styleId="46">
    <w:name w:val="批注文字 字符"/>
    <w:link w:val="11"/>
    <w:semiHidden/>
    <w:qFormat/>
    <w:uiPriority w:val="99"/>
    <w:rPr>
      <w:szCs w:val="24"/>
    </w:rPr>
  </w:style>
  <w:style w:type="character" w:customStyle="1" w:styleId="47">
    <w:name w:val="批注主题 字符"/>
    <w:link w:val="32"/>
    <w:semiHidden/>
    <w:qFormat/>
    <w:uiPriority w:val="99"/>
    <w:rPr>
      <w:b/>
      <w:bCs/>
      <w:szCs w:val="24"/>
    </w:rPr>
  </w:style>
  <w:style w:type="character" w:customStyle="1" w:styleId="48">
    <w:name w:val="结束语 字符"/>
    <w:link w:val="12"/>
    <w:semiHidden/>
    <w:qFormat/>
    <w:uiPriority w:val="99"/>
    <w:rPr>
      <w:szCs w:val="24"/>
    </w:rPr>
  </w:style>
  <w:style w:type="character" w:customStyle="1" w:styleId="49">
    <w:name w:val="正文文本 字符"/>
    <w:link w:val="3"/>
    <w:semiHidden/>
    <w:qFormat/>
    <w:uiPriority w:val="99"/>
    <w:rPr>
      <w:szCs w:val="24"/>
    </w:rPr>
  </w:style>
  <w:style w:type="character" w:customStyle="1" w:styleId="50">
    <w:name w:val="正文文本缩进 字符"/>
    <w:link w:val="13"/>
    <w:semiHidden/>
    <w:qFormat/>
    <w:uiPriority w:val="99"/>
    <w:rPr>
      <w:szCs w:val="24"/>
    </w:rPr>
  </w:style>
  <w:style w:type="character" w:customStyle="1" w:styleId="51">
    <w:name w:val="纯文本 字符"/>
    <w:link w:val="16"/>
    <w:qFormat/>
    <w:locked/>
    <w:uiPriority w:val="0"/>
    <w:rPr>
      <w:rFonts w:ascii="宋体" w:hAnsi="Courier New"/>
      <w:kern w:val="2"/>
      <w:sz w:val="21"/>
    </w:rPr>
  </w:style>
  <w:style w:type="character" w:customStyle="1" w:styleId="52">
    <w:name w:val="日期 字符"/>
    <w:link w:val="18"/>
    <w:semiHidden/>
    <w:qFormat/>
    <w:uiPriority w:val="99"/>
    <w:rPr>
      <w:szCs w:val="24"/>
    </w:rPr>
  </w:style>
  <w:style w:type="character" w:customStyle="1" w:styleId="53">
    <w:name w:val="正文文本缩进 2 字符"/>
    <w:link w:val="19"/>
    <w:semiHidden/>
    <w:qFormat/>
    <w:uiPriority w:val="99"/>
    <w:rPr>
      <w:szCs w:val="24"/>
    </w:rPr>
  </w:style>
  <w:style w:type="character" w:customStyle="1" w:styleId="54">
    <w:name w:val="尾注文本 字符"/>
    <w:link w:val="20"/>
    <w:qFormat/>
    <w:locked/>
    <w:uiPriority w:val="99"/>
    <w:rPr>
      <w:rFonts w:ascii="Calibri" w:hAnsi="Calibri" w:cs="Calibri"/>
      <w:kern w:val="2"/>
      <w:sz w:val="21"/>
      <w:szCs w:val="21"/>
    </w:rPr>
  </w:style>
  <w:style w:type="character" w:customStyle="1" w:styleId="55">
    <w:name w:val="批注框文本 字符"/>
    <w:link w:val="21"/>
    <w:semiHidden/>
    <w:qFormat/>
    <w:uiPriority w:val="99"/>
    <w:rPr>
      <w:sz w:val="0"/>
      <w:szCs w:val="0"/>
    </w:rPr>
  </w:style>
  <w:style w:type="character" w:customStyle="1" w:styleId="56">
    <w:name w:val="页脚 字符"/>
    <w:link w:val="22"/>
    <w:qFormat/>
    <w:uiPriority w:val="99"/>
    <w:rPr>
      <w:sz w:val="18"/>
      <w:szCs w:val="18"/>
    </w:rPr>
  </w:style>
  <w:style w:type="character" w:customStyle="1" w:styleId="57">
    <w:name w:val="页眉 字符"/>
    <w:link w:val="23"/>
    <w:semiHidden/>
    <w:qFormat/>
    <w:uiPriority w:val="99"/>
    <w:rPr>
      <w:sz w:val="18"/>
      <w:szCs w:val="18"/>
    </w:rPr>
  </w:style>
  <w:style w:type="character" w:customStyle="1" w:styleId="58">
    <w:name w:val="正文文本缩进 3 字符"/>
    <w:link w:val="27"/>
    <w:semiHidden/>
    <w:qFormat/>
    <w:uiPriority w:val="99"/>
    <w:rPr>
      <w:sz w:val="16"/>
      <w:szCs w:val="16"/>
    </w:rPr>
  </w:style>
  <w:style w:type="character" w:customStyle="1" w:styleId="59">
    <w:name w:val="正文文本 2 字符"/>
    <w:link w:val="30"/>
    <w:qFormat/>
    <w:locked/>
    <w:uiPriority w:val="0"/>
    <w:rPr>
      <w:rFonts w:ascii="宋体" w:eastAsia="宋体" w:cs="Times New Roman"/>
      <w:kern w:val="2"/>
      <w:sz w:val="30"/>
    </w:rPr>
  </w:style>
  <w:style w:type="paragraph" w:customStyle="1" w:styleId="60">
    <w:name w:val="xl65"/>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61">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2">
    <w:name w:val="文档正文"/>
    <w:basedOn w:val="1"/>
    <w:qFormat/>
    <w:uiPriority w:val="99"/>
    <w:pPr>
      <w:suppressAutoHyphens/>
      <w:spacing w:line="312" w:lineRule="atLeast"/>
      <w:ind w:firstLine="567"/>
      <w:jc w:val="left"/>
      <w:textAlignment w:val="baseline"/>
    </w:pPr>
    <w:rPr>
      <w:rFonts w:ascii="????" w:hAnsi="????" w:cs="Tahoma"/>
      <w:b/>
      <w:w w:val="80"/>
      <w:kern w:val="1"/>
      <w:sz w:val="28"/>
      <w:szCs w:val="20"/>
    </w:rPr>
  </w:style>
  <w:style w:type="paragraph" w:customStyle="1" w:styleId="63">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4">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6">
    <w:name w:val="正文表标题"/>
    <w:next w:val="1"/>
    <w:qFormat/>
    <w:uiPriority w:val="99"/>
    <w:pPr>
      <w:numPr>
        <w:ilvl w:val="0"/>
        <w:numId w:val="2"/>
      </w:numPr>
      <w:jc w:val="center"/>
    </w:pPr>
    <w:rPr>
      <w:rFonts w:ascii="黑体" w:hAnsi="Calibri" w:eastAsia="黑体" w:cs="黑体"/>
      <w:sz w:val="21"/>
      <w:szCs w:val="21"/>
      <w:lang w:val="en-US" w:eastAsia="zh-CN" w:bidi="ar-SA"/>
    </w:rPr>
  </w:style>
  <w:style w:type="paragraph" w:customStyle="1" w:styleId="67">
    <w:name w:val="封面标准文稿编辑信息"/>
    <w:qFormat/>
    <w:uiPriority w:val="99"/>
    <w:pPr>
      <w:spacing w:before="180" w:line="180" w:lineRule="exact"/>
      <w:jc w:val="center"/>
    </w:pPr>
    <w:rPr>
      <w:rFonts w:ascii="宋体" w:hAnsi="Calibri" w:eastAsia="宋体" w:cs="宋体"/>
      <w:sz w:val="21"/>
      <w:szCs w:val="21"/>
      <w:lang w:val="en-US" w:eastAsia="zh-CN" w:bidi="ar-SA"/>
    </w:rPr>
  </w:style>
  <w:style w:type="paragraph" w:customStyle="1" w:styleId="68">
    <w:name w:val="p0"/>
    <w:basedOn w:val="1"/>
    <w:qFormat/>
    <w:uiPriority w:val="99"/>
    <w:pPr>
      <w:widowControl/>
    </w:pPr>
    <w:rPr>
      <w:kern w:val="0"/>
    </w:rPr>
  </w:style>
  <w:style w:type="paragraph" w:customStyle="1" w:styleId="69">
    <w:name w:val="列出段落2"/>
    <w:basedOn w:val="1"/>
    <w:qFormat/>
    <w:uiPriority w:val="99"/>
    <w:pPr>
      <w:ind w:firstLine="420" w:firstLineChars="200"/>
    </w:pPr>
  </w:style>
  <w:style w:type="paragraph" w:customStyle="1" w:styleId="7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71">
    <w:name w:val="Char Char2"/>
    <w:basedOn w:val="1"/>
    <w:qFormat/>
    <w:uiPriority w:val="0"/>
    <w:rPr>
      <w:rFonts w:ascii="Tahoma" w:hAnsi="Tahoma"/>
      <w:sz w:val="24"/>
      <w:szCs w:val="20"/>
    </w:rPr>
  </w:style>
  <w:style w:type="paragraph" w:customStyle="1" w:styleId="72">
    <w:name w:val="列表段落1"/>
    <w:basedOn w:val="1"/>
    <w:unhideWhenUsed/>
    <w:qFormat/>
    <w:uiPriority w:val="99"/>
    <w:pPr>
      <w:ind w:firstLine="420" w:firstLineChars="200"/>
    </w:pPr>
  </w:style>
  <w:style w:type="paragraph" w:customStyle="1" w:styleId="73">
    <w:name w:val="文章正文"/>
    <w:basedOn w:val="1"/>
    <w:qFormat/>
    <w:uiPriority w:val="0"/>
    <w:pPr>
      <w:adjustRightInd w:val="0"/>
      <w:snapToGrid w:val="0"/>
      <w:spacing w:beforeLines="100" w:line="360" w:lineRule="auto"/>
      <w:ind w:firstLine="200" w:firstLineChars="200"/>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emf"/><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header" Target="header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3286"/>
    <customShpInfo spid="_x0000_s3073"/>
    <customShpInfo spid="_x0000_s3287"/>
    <customShpInfo spid="_x0000_s3274"/>
    <customShpInfo spid="_x0000_s3288"/>
    <customShpInfo spid="_x0000_s3202"/>
    <customShpInfo spid="_x0000_s3289"/>
    <customShpInfo spid="_x0000_s3204"/>
    <customShpInfo spid="_x0000_s3290"/>
    <customShpInfo spid="_x0000_s3275"/>
    <customShpInfo spid="_x0000_s3291"/>
    <customShpInfo spid="_x0000_s3112"/>
    <customShpInfo spid="_x0000_s3111"/>
    <customShpInfo spid="_x0000_s3292"/>
    <customShpInfo spid="_x0000_s3285"/>
    <customShpInfo spid="_x0000_s3293"/>
    <customShpInfo spid="_x0000_s3239"/>
    <customShpInfo spid="_x0000_s3238"/>
    <customShpInfo spid="_x0000_s3294"/>
    <customShpInfo spid="_x0000_s3295"/>
    <customShpInfo spid="_x0000_s3243"/>
    <customShpInfo spid="_x0000_s3242"/>
    <customShpInfo spid="_x0000_s3296"/>
    <customShpInfo spid="_x0000_s3297"/>
    <customShpInfo spid="_x0000_s3247"/>
    <customShpInfo spid="_x0000_s3246"/>
    <customShpInfo spid="_x0000_s3298"/>
    <customShpInfo spid="_x0000_s3284"/>
    <customShpInfo spid="_x0000_s3299"/>
    <customShpInfo spid="_x0000_s3281"/>
    <customShpInfo spid="_x0000_s3300"/>
    <customShpInfo spid="_x0000_s3279"/>
    <customShpInfo spid="_x0000_s3301"/>
    <customShpInfo spid="_x0000_s3302"/>
    <customShpInfo spid="_x0000_s3303"/>
    <customShpInfo spid="_x0000_s3304"/>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59</Pages>
  <Words>35348</Words>
  <Characters>37451</Characters>
  <Lines>320</Lines>
  <Paragraphs>90</Paragraphs>
  <TotalTime>0</TotalTime>
  <ScaleCrop>false</ScaleCrop>
  <LinksUpToDate>false</LinksUpToDate>
  <CharactersWithSpaces>42378</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2018-07-04T02:46:00Z</dcterms:created>
  <dc:creator>luos</dc:creator>
  <cp:lastModifiedBy>吴颖</cp:lastModifiedBy>
  <cp:lastPrinted>2019-05-17T08:04:00Z</cp:lastPrinted>
  <dcterms:modified xsi:type="dcterms:W3CDTF">2022-07-11T03:56:09Z</dcterms:modified>
  <dc:title>政  府  采  购</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CC3D102BE14A47BFB9E9854CD21900F1</vt:lpwstr>
  </property>
</Properties>
</file>